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5E65" w14:textId="77777777" w:rsidR="00426BB6" w:rsidRPr="000A5F33" w:rsidRDefault="00426BB6" w:rsidP="5CD9741F">
      <w:pPr>
        <w:pStyle w:val="Heading2"/>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 xml:space="preserve">MISSION STATEMENT </w:t>
      </w:r>
    </w:p>
    <w:p w14:paraId="547EF1E8" w14:textId="107BAFF0" w:rsidR="00E91B9C" w:rsidRPr="000A5F33" w:rsidRDefault="2B0149F1" w:rsidP="5CD9741F">
      <w:pPr>
        <w:pStyle w:val="Heading2"/>
        <w:rPr>
          <w:rFonts w:ascii="Franklin Gothic Book" w:eastAsia="Franklin Gothic Book" w:hAnsi="Franklin Gothic Book" w:cs="Franklin Gothic Book"/>
          <w:b w:val="0"/>
          <w:sz w:val="22"/>
          <w:szCs w:val="22"/>
        </w:rPr>
      </w:pPr>
      <w:r w:rsidRPr="5CD9741F">
        <w:rPr>
          <w:rFonts w:ascii="Franklin Gothic Book" w:eastAsia="Franklin Gothic Book" w:hAnsi="Franklin Gothic Book" w:cs="Franklin Gothic Book"/>
          <w:b w:val="0"/>
          <w:sz w:val="22"/>
          <w:szCs w:val="22"/>
        </w:rPr>
        <w:t xml:space="preserve">The mission of Purdue Testing Services (PTS) is to serve </w:t>
      </w:r>
      <w:r w:rsidR="76AA180A" w:rsidRPr="5CD9741F">
        <w:rPr>
          <w:rFonts w:ascii="Franklin Gothic Book" w:eastAsia="Franklin Gothic Book" w:hAnsi="Franklin Gothic Book" w:cs="Franklin Gothic Book"/>
          <w:b w:val="0"/>
          <w:sz w:val="22"/>
          <w:szCs w:val="22"/>
        </w:rPr>
        <w:t>instructors</w:t>
      </w:r>
      <w:r w:rsidRPr="5CD9741F">
        <w:rPr>
          <w:rFonts w:ascii="Franklin Gothic Book" w:eastAsia="Franklin Gothic Book" w:hAnsi="Franklin Gothic Book" w:cs="Franklin Gothic Book"/>
          <w:b w:val="0"/>
          <w:sz w:val="22"/>
          <w:szCs w:val="22"/>
        </w:rPr>
        <w:t xml:space="preserve">, </w:t>
      </w:r>
      <w:r w:rsidR="6A991A38" w:rsidRPr="5CD9741F">
        <w:rPr>
          <w:rFonts w:ascii="Franklin Gothic Book" w:eastAsia="Franklin Gothic Book" w:hAnsi="Franklin Gothic Book" w:cs="Franklin Gothic Book"/>
          <w:b w:val="0"/>
          <w:sz w:val="22"/>
          <w:szCs w:val="22"/>
        </w:rPr>
        <w:t>students</w:t>
      </w:r>
      <w:r w:rsidRPr="5CD9741F">
        <w:rPr>
          <w:rFonts w:ascii="Franklin Gothic Book" w:eastAsia="Franklin Gothic Book" w:hAnsi="Franklin Gothic Book" w:cs="Franklin Gothic Book"/>
          <w:b w:val="0"/>
          <w:sz w:val="22"/>
          <w:szCs w:val="22"/>
        </w:rPr>
        <w:t xml:space="preserve"> and the greater Purdue community by providing testing services for undergraduate advancement, graduate development and professional accreditation. </w:t>
      </w:r>
      <w:r w:rsidR="276DAFFB" w:rsidRPr="5CD9741F">
        <w:rPr>
          <w:rFonts w:ascii="Franklin Gothic Book" w:eastAsia="Franklin Gothic Book" w:hAnsi="Franklin Gothic Book" w:cs="Franklin Gothic Book"/>
          <w:b w:val="0"/>
          <w:sz w:val="22"/>
          <w:szCs w:val="22"/>
        </w:rPr>
        <w:t xml:space="preserve">The primary role of PTS is to support instructors and students through the accommodated testing process in partnership with </w:t>
      </w:r>
      <w:r w:rsidRPr="5CD9741F">
        <w:rPr>
          <w:rFonts w:ascii="Franklin Gothic Book" w:eastAsia="Franklin Gothic Book" w:hAnsi="Franklin Gothic Book" w:cs="Franklin Gothic Book"/>
          <w:b w:val="0"/>
          <w:sz w:val="22"/>
          <w:szCs w:val="22"/>
        </w:rPr>
        <w:t>the Disability Resource Center (DRC)</w:t>
      </w:r>
      <w:r w:rsidR="276DAFFB" w:rsidRPr="5CD9741F">
        <w:rPr>
          <w:rFonts w:ascii="Franklin Gothic Book" w:eastAsia="Franklin Gothic Book" w:hAnsi="Franklin Gothic Book" w:cs="Franklin Gothic Book"/>
          <w:b w:val="0"/>
          <w:sz w:val="22"/>
          <w:szCs w:val="22"/>
        </w:rPr>
        <w:t>.</w:t>
      </w:r>
      <w:r w:rsidRPr="5CD9741F">
        <w:rPr>
          <w:rFonts w:ascii="Franklin Gothic Book" w:eastAsia="Franklin Gothic Book" w:hAnsi="Franklin Gothic Book" w:cs="Franklin Gothic Book"/>
          <w:b w:val="0"/>
          <w:sz w:val="22"/>
          <w:szCs w:val="22"/>
        </w:rPr>
        <w:t xml:space="preserve"> </w:t>
      </w:r>
    </w:p>
    <w:p w14:paraId="0C86D64E" w14:textId="51C7C8C8" w:rsidR="5CD9741F" w:rsidRDefault="5CD9741F" w:rsidP="5CD9741F">
      <w:pPr>
        <w:spacing w:after="0"/>
      </w:pPr>
    </w:p>
    <w:p w14:paraId="6B19998D" w14:textId="77777777" w:rsidR="00E91B9C" w:rsidRPr="000A5F33" w:rsidRDefault="00E91B9C" w:rsidP="5CD9741F">
      <w:pPr>
        <w:pStyle w:val="Heading2"/>
        <w:rPr>
          <w:rFonts w:ascii="Franklin Gothic Book" w:eastAsia="Franklin Gothic Book" w:hAnsi="Franklin Gothic Book" w:cs="Franklin Gothic Book"/>
          <w:b w:val="0"/>
          <w:sz w:val="22"/>
          <w:szCs w:val="22"/>
        </w:rPr>
      </w:pPr>
    </w:p>
    <w:p w14:paraId="6E9BB252" w14:textId="25132906" w:rsidR="00426BB6" w:rsidRPr="000A5F33" w:rsidRDefault="00426BB6" w:rsidP="5CD9741F">
      <w:pPr>
        <w:pStyle w:val="Heading2"/>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VISION STATEMENT</w:t>
      </w:r>
    </w:p>
    <w:p w14:paraId="6614F125" w14:textId="1C2FEC9F" w:rsidR="00F62197" w:rsidRPr="000A5F33" w:rsidRDefault="00E83EE1"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PTS is responsive to the needs of campus</w:t>
      </w:r>
      <w:r w:rsidR="00660DAF" w:rsidRPr="5CD9741F">
        <w:rPr>
          <w:rFonts w:ascii="Franklin Gothic Book" w:eastAsia="Franklin Gothic Book" w:hAnsi="Franklin Gothic Book" w:cs="Franklin Gothic Book"/>
        </w:rPr>
        <w:t xml:space="preserve"> and provides o</w:t>
      </w:r>
      <w:r w:rsidRPr="5CD9741F">
        <w:rPr>
          <w:rFonts w:ascii="Franklin Gothic Book" w:eastAsia="Franklin Gothic Book" w:hAnsi="Franklin Gothic Book" w:cs="Franklin Gothic Book"/>
        </w:rPr>
        <w:t>n-time</w:t>
      </w:r>
      <w:r w:rsidR="00660DAF" w:rsidRPr="5CD9741F">
        <w:rPr>
          <w:rFonts w:ascii="Franklin Gothic Book" w:eastAsia="Franklin Gothic Book" w:hAnsi="Franklin Gothic Book" w:cs="Franklin Gothic Book"/>
        </w:rPr>
        <w:t>,</w:t>
      </w:r>
      <w:r w:rsidRPr="5CD9741F">
        <w:rPr>
          <w:rFonts w:ascii="Franklin Gothic Book" w:eastAsia="Franklin Gothic Book" w:hAnsi="Franklin Gothic Book" w:cs="Franklin Gothic Book"/>
        </w:rPr>
        <w:t xml:space="preserve"> quality support to facilitate the completion of exams. </w:t>
      </w:r>
      <w:r w:rsidR="000A5F33" w:rsidRPr="5CD9741F">
        <w:rPr>
          <w:rFonts w:ascii="Franklin Gothic Book" w:eastAsia="Franklin Gothic Book" w:hAnsi="Franklin Gothic Book" w:cs="Franklin Gothic Book"/>
        </w:rPr>
        <w:t>We a</w:t>
      </w:r>
      <w:r w:rsidRPr="5CD9741F">
        <w:rPr>
          <w:rFonts w:ascii="Franklin Gothic Book" w:eastAsia="Franklin Gothic Book" w:hAnsi="Franklin Gothic Book" w:cs="Franklin Gothic Book"/>
        </w:rPr>
        <w:t>spire to be viewed as exp</w:t>
      </w:r>
      <w:r w:rsidR="00660DAF" w:rsidRPr="5CD9741F">
        <w:rPr>
          <w:rFonts w:ascii="Franklin Gothic Book" w:eastAsia="Franklin Gothic Book" w:hAnsi="Franklin Gothic Book" w:cs="Franklin Gothic Book"/>
        </w:rPr>
        <w:t xml:space="preserve">erts in our field by campus partners and </w:t>
      </w:r>
      <w:r w:rsidR="000A5F33" w:rsidRPr="5CD9741F">
        <w:rPr>
          <w:rFonts w:ascii="Franklin Gothic Book" w:eastAsia="Franklin Gothic Book" w:hAnsi="Franklin Gothic Book" w:cs="Franklin Gothic Book"/>
        </w:rPr>
        <w:t>other</w:t>
      </w:r>
      <w:r w:rsidR="00660DAF" w:rsidRPr="5CD9741F">
        <w:rPr>
          <w:rFonts w:ascii="Franklin Gothic Book" w:eastAsia="Franklin Gothic Book" w:hAnsi="Franklin Gothic Book" w:cs="Franklin Gothic Book"/>
        </w:rPr>
        <w:t xml:space="preserve"> institutions. </w:t>
      </w:r>
    </w:p>
    <w:p w14:paraId="32999FF0" w14:textId="631B354C" w:rsidR="5CD9741F" w:rsidRDefault="5CD9741F" w:rsidP="5CD9741F">
      <w:pPr>
        <w:spacing w:after="0"/>
        <w:rPr>
          <w:rFonts w:ascii="Franklin Gothic Book" w:eastAsia="Franklin Gothic Book" w:hAnsi="Franklin Gothic Book" w:cs="Franklin Gothic Book"/>
        </w:rPr>
      </w:pPr>
    </w:p>
    <w:p w14:paraId="4DE18FC4" w14:textId="3AADD225" w:rsidR="5CD9741F" w:rsidRDefault="5CD9741F" w:rsidP="5CD9741F">
      <w:pPr>
        <w:spacing w:after="0"/>
        <w:rPr>
          <w:rFonts w:ascii="Franklin Gothic Book" w:eastAsia="Franklin Gothic Book" w:hAnsi="Franklin Gothic Book" w:cs="Franklin Gothic Book"/>
        </w:rPr>
      </w:pPr>
    </w:p>
    <w:p w14:paraId="12F2FD62" w14:textId="395E588C" w:rsidR="00E91B9C" w:rsidRPr="000A5F33" w:rsidRDefault="00426BB6" w:rsidP="5CD9741F">
      <w:pPr>
        <w:pStyle w:val="Heading2"/>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PROGRAM ELEMENTS</w:t>
      </w:r>
    </w:p>
    <w:p w14:paraId="57702FA1" w14:textId="32C31E2F" w:rsidR="00E91B9C" w:rsidRPr="000A5F33" w:rsidRDefault="00E91B9C"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 xml:space="preserve">PTS offers a suite of exams that include: </w:t>
      </w:r>
    </w:p>
    <w:p w14:paraId="466558C6" w14:textId="6C2B6CC0" w:rsidR="00E91B9C" w:rsidRPr="000A5F33" w:rsidRDefault="00E91B9C" w:rsidP="5CD9741F">
      <w:pPr>
        <w:pStyle w:val="ListParagraph"/>
        <w:numPr>
          <w:ilvl w:val="0"/>
          <w:numId w:val="14"/>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Accommodated Academic Exams</w:t>
      </w:r>
    </w:p>
    <w:p w14:paraId="221FD427" w14:textId="497C15B5" w:rsidR="005A4402" w:rsidRPr="000A5F33" w:rsidRDefault="005A4402" w:rsidP="5CD9741F">
      <w:pPr>
        <w:pStyle w:val="ListParagraph"/>
        <w:numPr>
          <w:ilvl w:val="1"/>
          <w:numId w:val="14"/>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Print, package</w:t>
      </w:r>
      <w:r w:rsidR="17C37AB1" w:rsidRPr="5CD9741F">
        <w:rPr>
          <w:rFonts w:ascii="Franklin Gothic Book" w:eastAsia="Franklin Gothic Book" w:hAnsi="Franklin Gothic Book" w:cs="Franklin Gothic Book"/>
        </w:rPr>
        <w:t xml:space="preserve"> </w:t>
      </w:r>
      <w:r w:rsidRPr="5CD9741F">
        <w:rPr>
          <w:rFonts w:ascii="Franklin Gothic Book" w:eastAsia="Franklin Gothic Book" w:hAnsi="Franklin Gothic Book" w:cs="Franklin Gothic Book"/>
        </w:rPr>
        <w:t xml:space="preserve">and administer academic exams on behalf of </w:t>
      </w:r>
      <w:r w:rsidR="008E49FF" w:rsidRPr="5CD9741F">
        <w:rPr>
          <w:rFonts w:ascii="Franklin Gothic Book" w:eastAsia="Franklin Gothic Book" w:hAnsi="Franklin Gothic Book" w:cs="Franklin Gothic Book"/>
        </w:rPr>
        <w:t xml:space="preserve">instructors for students with approved accommodations </w:t>
      </w:r>
      <w:bookmarkStart w:id="0" w:name="_Int_LtrurmBB"/>
      <w:r w:rsidR="008E49FF" w:rsidRPr="5CD9741F">
        <w:rPr>
          <w:rFonts w:ascii="Franklin Gothic Book" w:eastAsia="Franklin Gothic Book" w:hAnsi="Franklin Gothic Book" w:cs="Franklin Gothic Book"/>
        </w:rPr>
        <w:t>through</w:t>
      </w:r>
      <w:bookmarkEnd w:id="0"/>
      <w:r w:rsidR="008E49FF" w:rsidRPr="5CD9741F">
        <w:rPr>
          <w:rFonts w:ascii="Franklin Gothic Book" w:eastAsia="Franklin Gothic Book" w:hAnsi="Franklin Gothic Book" w:cs="Franklin Gothic Book"/>
        </w:rPr>
        <w:t xml:space="preserve"> the DRC.</w:t>
      </w:r>
      <w:r w:rsidRPr="5CD9741F">
        <w:rPr>
          <w:rFonts w:ascii="Franklin Gothic Book" w:eastAsia="Franklin Gothic Book" w:hAnsi="Franklin Gothic Book" w:cs="Franklin Gothic Book"/>
        </w:rPr>
        <w:t xml:space="preserve"> </w:t>
      </w:r>
    </w:p>
    <w:p w14:paraId="340B21BA" w14:textId="41DDA73E" w:rsidR="008E49FF" w:rsidRPr="000A5F33" w:rsidRDefault="008E49FF" w:rsidP="5CD9741F">
      <w:pPr>
        <w:pStyle w:val="ListParagraph"/>
        <w:numPr>
          <w:ilvl w:val="1"/>
          <w:numId w:val="14"/>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Facilitate the full spectrum of testing accommodations including extended time, distraction</w:t>
      </w:r>
      <w:r w:rsidR="6A697206" w:rsidRPr="5CD9741F">
        <w:rPr>
          <w:rFonts w:ascii="Franklin Gothic Book" w:eastAsia="Franklin Gothic Book" w:hAnsi="Franklin Gothic Book" w:cs="Franklin Gothic Book"/>
        </w:rPr>
        <w:t>-</w:t>
      </w:r>
      <w:r w:rsidRPr="5CD9741F">
        <w:rPr>
          <w:rFonts w:ascii="Franklin Gothic Book" w:eastAsia="Franklin Gothic Book" w:hAnsi="Franklin Gothic Book" w:cs="Franklin Gothic Book"/>
        </w:rPr>
        <w:t>reduced environment, assistive technology, music during exams and alternate furniture.</w:t>
      </w:r>
    </w:p>
    <w:p w14:paraId="7A68D5D2" w14:textId="77777777" w:rsidR="00E91B9C" w:rsidRPr="000A5F33" w:rsidRDefault="00E91B9C" w:rsidP="5CD9741F">
      <w:pPr>
        <w:pStyle w:val="NoSpacing"/>
        <w:numPr>
          <w:ilvl w:val="0"/>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Pearson Exams</w:t>
      </w:r>
    </w:p>
    <w:p w14:paraId="22DFDAC4" w14:textId="4171AE6C"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Evaluation Systems Exams</w:t>
      </w:r>
      <w:r w:rsidR="5DF72ADF" w:rsidRPr="5CD9741F">
        <w:rPr>
          <w:rFonts w:ascii="Franklin Gothic Book" w:eastAsia="Franklin Gothic Book" w:hAnsi="Franklin Gothic Book" w:cs="Franklin Gothic Book"/>
        </w:rPr>
        <w:t xml:space="preserve"> </w:t>
      </w:r>
      <w:r w:rsidRPr="5CD9741F">
        <w:rPr>
          <w:rFonts w:ascii="Franklin Gothic Book" w:eastAsia="Franklin Gothic Book" w:hAnsi="Franklin Gothic Book" w:cs="Franklin Gothic Book"/>
        </w:rPr>
        <w:t>(ES)</w:t>
      </w:r>
    </w:p>
    <w:p w14:paraId="00D86640" w14:textId="77777777" w:rsidR="00E91B9C" w:rsidRPr="000A5F33" w:rsidRDefault="00E91B9C" w:rsidP="5CD9741F">
      <w:pPr>
        <w:pStyle w:val="NoSpacing"/>
        <w:numPr>
          <w:ilvl w:val="2"/>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Teacher licensure exams</w:t>
      </w:r>
    </w:p>
    <w:p w14:paraId="08D75EF3" w14:textId="43B7568F"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Executive Assessment (EA)</w:t>
      </w:r>
    </w:p>
    <w:p w14:paraId="49623E82" w14:textId="77777777" w:rsidR="00E91B9C" w:rsidRPr="000A5F33" w:rsidRDefault="00E91B9C" w:rsidP="5CD9741F">
      <w:pPr>
        <w:pStyle w:val="NoSpacing"/>
        <w:numPr>
          <w:ilvl w:val="2"/>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Business school readiness exam</w:t>
      </w:r>
    </w:p>
    <w:p w14:paraId="5904E957" w14:textId="751DF6C6"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Graduate Management Admission Test (GMAT)</w:t>
      </w:r>
    </w:p>
    <w:p w14:paraId="71191A44" w14:textId="582CCB17"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Fundamentals of Engineering</w:t>
      </w:r>
      <w:r w:rsidR="46C4FCDB" w:rsidRPr="5CD9741F">
        <w:rPr>
          <w:rFonts w:ascii="Franklin Gothic Book" w:eastAsia="Franklin Gothic Book" w:hAnsi="Franklin Gothic Book" w:cs="Franklin Gothic Book"/>
        </w:rPr>
        <w:t xml:space="preserve"> </w:t>
      </w:r>
      <w:r w:rsidRPr="5CD9741F">
        <w:rPr>
          <w:rFonts w:ascii="Franklin Gothic Book" w:eastAsia="Franklin Gothic Book" w:hAnsi="Franklin Gothic Book" w:cs="Franklin Gothic Book"/>
        </w:rPr>
        <w:t xml:space="preserve">(FE) </w:t>
      </w:r>
      <w:r w:rsidR="6C76B3B3" w:rsidRPr="5CD9741F">
        <w:rPr>
          <w:rFonts w:ascii="Franklin Gothic Book" w:eastAsia="Franklin Gothic Book" w:hAnsi="Franklin Gothic Book" w:cs="Franklin Gothic Book"/>
        </w:rPr>
        <w:t>and</w:t>
      </w:r>
      <w:r w:rsidRPr="5CD9741F">
        <w:rPr>
          <w:rFonts w:ascii="Franklin Gothic Book" w:eastAsia="Franklin Gothic Book" w:hAnsi="Franklin Gothic Book" w:cs="Franklin Gothic Book"/>
        </w:rPr>
        <w:t xml:space="preserve"> Fundamentals of Surveying (FS)</w:t>
      </w:r>
    </w:p>
    <w:p w14:paraId="6B119DBC" w14:textId="77777777" w:rsidR="00E91B9C" w:rsidRPr="000A5F33" w:rsidRDefault="00E91B9C" w:rsidP="5CD9741F">
      <w:pPr>
        <w:pStyle w:val="NoSpacing"/>
        <w:numPr>
          <w:ilvl w:val="2"/>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Engineer licensure exams</w:t>
      </w:r>
    </w:p>
    <w:p w14:paraId="1DDD1907" w14:textId="16672302"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Microsoft Certification (Microsoft)</w:t>
      </w:r>
    </w:p>
    <w:p w14:paraId="4615F264" w14:textId="7B5507E8" w:rsidR="00E91B9C" w:rsidRDefault="00E91B9C" w:rsidP="5CD9741F">
      <w:pPr>
        <w:pStyle w:val="NoSpacing"/>
        <w:numPr>
          <w:ilvl w:val="2"/>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Specialist and technical certification exams</w:t>
      </w:r>
    </w:p>
    <w:p w14:paraId="019ABA98" w14:textId="5F24516E" w:rsidR="006E648C" w:rsidRPr="000A5F33" w:rsidRDefault="007E1D17" w:rsidP="006E648C">
      <w:pPr>
        <w:pStyle w:val="NoSpacing"/>
        <w:numPr>
          <w:ilvl w:val="1"/>
          <w:numId w:val="14"/>
        </w:numPr>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Air Force Officer Qualifying </w:t>
      </w:r>
      <w:r w:rsidR="00235D2B">
        <w:rPr>
          <w:rFonts w:ascii="Franklin Gothic Book" w:eastAsia="Franklin Gothic Book" w:hAnsi="Franklin Gothic Book" w:cs="Franklin Gothic Book"/>
        </w:rPr>
        <w:t>Test (AFOQT)</w:t>
      </w:r>
    </w:p>
    <w:p w14:paraId="5300BFCB" w14:textId="77777777" w:rsidR="00E91B9C" w:rsidRPr="000A5F33" w:rsidRDefault="00E91B9C" w:rsidP="5CD9741F">
      <w:pPr>
        <w:pStyle w:val="NoSpacing"/>
        <w:numPr>
          <w:ilvl w:val="0"/>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ETS</w:t>
      </w:r>
    </w:p>
    <w:p w14:paraId="364B1780" w14:textId="77777777" w:rsidR="00BA1A3A"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Praxis</w:t>
      </w:r>
    </w:p>
    <w:p w14:paraId="1F001C2F" w14:textId="5190AD09" w:rsidR="00E91B9C" w:rsidRPr="00BA1A3A" w:rsidRDefault="00E91B9C" w:rsidP="5CD9741F">
      <w:pPr>
        <w:pStyle w:val="NoSpacing"/>
        <w:numPr>
          <w:ilvl w:val="2"/>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Teacher licensure exams</w:t>
      </w:r>
    </w:p>
    <w:p w14:paraId="60682248" w14:textId="62B6E25A"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Graduate Record Examinations</w:t>
      </w:r>
      <w:r w:rsidR="12757803" w:rsidRPr="5CD9741F">
        <w:rPr>
          <w:rFonts w:ascii="Franklin Gothic Book" w:eastAsia="Franklin Gothic Book" w:hAnsi="Franklin Gothic Book" w:cs="Franklin Gothic Book"/>
        </w:rPr>
        <w:t xml:space="preserve"> </w:t>
      </w:r>
      <w:r w:rsidRPr="5CD9741F">
        <w:rPr>
          <w:rFonts w:ascii="Franklin Gothic Book" w:eastAsia="Franklin Gothic Book" w:hAnsi="Franklin Gothic Book" w:cs="Franklin Gothic Book"/>
        </w:rPr>
        <w:t>(GRE – General)</w:t>
      </w:r>
    </w:p>
    <w:p w14:paraId="15F7FBAD" w14:textId="77777777" w:rsidR="00E91B9C" w:rsidRPr="000A5F33" w:rsidRDefault="00E91B9C" w:rsidP="5CD9741F">
      <w:pPr>
        <w:pStyle w:val="NoSpacing"/>
        <w:numPr>
          <w:ilvl w:val="0"/>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College Board</w:t>
      </w:r>
    </w:p>
    <w:p w14:paraId="657ED551" w14:textId="12E7255A"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College-Level Examination Program</w:t>
      </w:r>
      <w:r w:rsidR="13CD873C" w:rsidRPr="5CD9741F">
        <w:rPr>
          <w:rFonts w:ascii="Franklin Gothic Book" w:eastAsia="Franklin Gothic Book" w:hAnsi="Franklin Gothic Book" w:cs="Franklin Gothic Book"/>
        </w:rPr>
        <w:t xml:space="preserve"> </w:t>
      </w:r>
      <w:r w:rsidRPr="5CD9741F">
        <w:rPr>
          <w:rFonts w:ascii="Franklin Gothic Book" w:eastAsia="Franklin Gothic Book" w:hAnsi="Franklin Gothic Book" w:cs="Franklin Gothic Book"/>
        </w:rPr>
        <w:t>(CLEP) is a series of</w:t>
      </w:r>
      <w:r w:rsidRPr="5CD9741F">
        <w:rPr>
          <w:rFonts w:ascii="Franklin Gothic Book" w:eastAsia="Franklin Gothic Book" w:hAnsi="Franklin Gothic Book" w:cs="Franklin Gothic Book"/>
          <w:i/>
          <w:iCs/>
        </w:rPr>
        <w:t xml:space="preserve"> </w:t>
      </w:r>
      <w:r w:rsidRPr="5CD9741F">
        <w:rPr>
          <w:rFonts w:ascii="Franklin Gothic Book" w:eastAsia="Franklin Gothic Book" w:hAnsi="Franklin Gothic Book" w:cs="Franklin Gothic Book"/>
        </w:rPr>
        <w:t>exams that allow for credit by exam</w:t>
      </w:r>
      <w:r w:rsidR="73413569" w:rsidRPr="5CD9741F">
        <w:rPr>
          <w:rFonts w:ascii="Franklin Gothic Book" w:eastAsia="Franklin Gothic Book" w:hAnsi="Franklin Gothic Book" w:cs="Franklin Gothic Book"/>
        </w:rPr>
        <w:t>.</w:t>
      </w:r>
    </w:p>
    <w:p w14:paraId="1161C15D" w14:textId="4ADF18B0" w:rsidR="00E91B9C" w:rsidRPr="000A5F33" w:rsidRDefault="00E91B9C" w:rsidP="5CD9741F">
      <w:pPr>
        <w:pStyle w:val="NoSpacing"/>
        <w:numPr>
          <w:ilvl w:val="1"/>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 xml:space="preserve">There are a total of 33 exams across the following categories: Composition and Literature; World Languages; History and Social Science; Science </w:t>
      </w:r>
      <w:r w:rsidR="5D87F9B3" w:rsidRPr="5CD9741F">
        <w:rPr>
          <w:rFonts w:ascii="Franklin Gothic Book" w:eastAsia="Franklin Gothic Book" w:hAnsi="Franklin Gothic Book" w:cs="Franklin Gothic Book"/>
        </w:rPr>
        <w:t>and</w:t>
      </w:r>
      <w:r w:rsidRPr="5CD9741F">
        <w:rPr>
          <w:rFonts w:ascii="Franklin Gothic Book" w:eastAsia="Franklin Gothic Book" w:hAnsi="Franklin Gothic Book" w:cs="Franklin Gothic Book"/>
        </w:rPr>
        <w:t xml:space="preserve"> Mathematics; and Business. </w:t>
      </w:r>
    </w:p>
    <w:p w14:paraId="077EB882" w14:textId="77777777" w:rsidR="006E648C" w:rsidRDefault="00E91B9C" w:rsidP="006E648C">
      <w:pPr>
        <w:pStyle w:val="NoSpacing"/>
        <w:numPr>
          <w:ilvl w:val="0"/>
          <w:numId w:val="14"/>
        </w:numPr>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Purdue Advanced Credit</w:t>
      </w:r>
    </w:p>
    <w:p w14:paraId="0A8CDAA7" w14:textId="0E01CBAE" w:rsidR="00632190" w:rsidRPr="006E648C" w:rsidRDefault="00E91B9C" w:rsidP="006E648C">
      <w:pPr>
        <w:pStyle w:val="NoSpacing"/>
        <w:numPr>
          <w:ilvl w:val="1"/>
          <w:numId w:val="14"/>
        </w:numPr>
        <w:rPr>
          <w:rFonts w:ascii="Franklin Gothic Book" w:eastAsia="Franklin Gothic Book" w:hAnsi="Franklin Gothic Book" w:cs="Franklin Gothic Book"/>
        </w:rPr>
      </w:pPr>
      <w:r w:rsidRPr="006E648C">
        <w:rPr>
          <w:rFonts w:ascii="Franklin Gothic Book" w:eastAsia="Franklin Gothic Book" w:hAnsi="Franklin Gothic Book" w:cs="Franklin Gothic Book"/>
        </w:rPr>
        <w:t>Chemistry</w:t>
      </w:r>
      <w:r w:rsidR="006E648C">
        <w:rPr>
          <w:rFonts w:ascii="Franklin Gothic Book" w:eastAsia="Franklin Gothic Book" w:hAnsi="Franklin Gothic Book" w:cs="Franklin Gothic Book"/>
        </w:rPr>
        <w:t>,</w:t>
      </w:r>
      <w:r w:rsidRPr="006E648C">
        <w:rPr>
          <w:rFonts w:ascii="Franklin Gothic Book" w:eastAsia="Franklin Gothic Book" w:hAnsi="Franklin Gothic Book" w:cs="Franklin Gothic Book"/>
        </w:rPr>
        <w:t xml:space="preserve"> Computer Science</w:t>
      </w:r>
      <w:r w:rsidR="006E648C">
        <w:rPr>
          <w:rFonts w:ascii="Franklin Gothic Book" w:eastAsia="Franklin Gothic Book" w:hAnsi="Franklin Gothic Book" w:cs="Franklin Gothic Book"/>
        </w:rPr>
        <w:t>, and Computer &amp; Information Technology (CNIT)</w:t>
      </w:r>
    </w:p>
    <w:p w14:paraId="247240BD" w14:textId="0CBC7E70" w:rsidR="5CD9741F" w:rsidRDefault="5CD9741F" w:rsidP="5CD9741F">
      <w:pPr>
        <w:spacing w:after="0"/>
        <w:rPr>
          <w:rFonts w:ascii="Franklin Gothic Book" w:eastAsia="Franklin Gothic Book" w:hAnsi="Franklin Gothic Book" w:cs="Franklin Gothic Book"/>
        </w:rPr>
      </w:pPr>
    </w:p>
    <w:p w14:paraId="163391B9" w14:textId="54C7CBE5" w:rsidR="5CD9741F" w:rsidRDefault="5CD9741F" w:rsidP="5CD9741F">
      <w:pPr>
        <w:spacing w:after="0"/>
        <w:rPr>
          <w:rFonts w:ascii="Franklin Gothic Book" w:eastAsia="Franklin Gothic Book" w:hAnsi="Franklin Gothic Book" w:cs="Franklin Gothic Book"/>
        </w:rPr>
      </w:pPr>
    </w:p>
    <w:p w14:paraId="45BB965D" w14:textId="77777777" w:rsidR="00235D2B" w:rsidRDefault="00235D2B">
      <w:pPr>
        <w:rPr>
          <w:rFonts w:ascii="Franklin Gothic Book" w:eastAsia="Franklin Gothic Book" w:hAnsi="Franklin Gothic Book" w:cs="Franklin Gothic Book"/>
          <w:b/>
          <w:sz w:val="26"/>
          <w:szCs w:val="26"/>
        </w:rPr>
      </w:pPr>
      <w:r>
        <w:rPr>
          <w:rFonts w:ascii="Franklin Gothic Book" w:eastAsia="Franklin Gothic Book" w:hAnsi="Franklin Gothic Book" w:cs="Franklin Gothic Book"/>
        </w:rPr>
        <w:br w:type="page"/>
      </w:r>
    </w:p>
    <w:p w14:paraId="7FE249D9" w14:textId="0F54DD54" w:rsidR="00426BB6" w:rsidRPr="00D9350F" w:rsidRDefault="000A5F33" w:rsidP="00124CCF">
      <w:pPr>
        <w:pStyle w:val="Heading3"/>
        <w:rPr>
          <w:rFonts w:ascii="Franklin Gothic Book" w:eastAsia="Franklin Gothic Book" w:hAnsi="Franklin Gothic Book" w:cs="Franklin Gothic Book"/>
          <w:sz w:val="22"/>
          <w:szCs w:val="22"/>
        </w:rPr>
      </w:pPr>
      <w:r w:rsidRPr="00D9350F">
        <w:rPr>
          <w:rFonts w:ascii="Franklin Gothic Book" w:hAnsi="Franklin Gothic Book"/>
          <w:sz w:val="22"/>
          <w:szCs w:val="22"/>
        </w:rPr>
        <w:lastRenderedPageBreak/>
        <w:t>PROGRAM</w:t>
      </w:r>
      <w:r w:rsidR="00426BB6" w:rsidRPr="00D9350F">
        <w:rPr>
          <w:rFonts w:ascii="Franklin Gothic Book" w:eastAsia="Franklin Gothic Book" w:hAnsi="Franklin Gothic Book" w:cs="Franklin Gothic Book"/>
          <w:sz w:val="22"/>
          <w:szCs w:val="22"/>
        </w:rPr>
        <w:t xml:space="preserve"> </w:t>
      </w:r>
      <w:r w:rsidRPr="00D9350F">
        <w:rPr>
          <w:rFonts w:ascii="Franklin Gothic Book" w:eastAsia="Franklin Gothic Book" w:hAnsi="Franklin Gothic Book" w:cs="Franklin Gothic Book"/>
          <w:sz w:val="22"/>
          <w:szCs w:val="22"/>
        </w:rPr>
        <w:t>GOALS</w:t>
      </w:r>
    </w:p>
    <w:p w14:paraId="3630FF8E" w14:textId="173F7393" w:rsidR="7257E324" w:rsidRDefault="7257E324" w:rsidP="5CD9741F">
      <w:pPr>
        <w:pStyle w:val="ListParagraph"/>
        <w:numPr>
          <w:ilvl w:val="0"/>
          <w:numId w:val="16"/>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Every client has a satisfactory experience, including students taking accommodated exams, clients taking vendor exams</w:t>
      </w:r>
      <w:r w:rsidR="6BDC0420" w:rsidRPr="5CD9741F">
        <w:rPr>
          <w:rFonts w:ascii="Franklin Gothic Book" w:eastAsia="Franklin Gothic Book" w:hAnsi="Franklin Gothic Book" w:cs="Franklin Gothic Book"/>
        </w:rPr>
        <w:t xml:space="preserve"> </w:t>
      </w:r>
      <w:r w:rsidRPr="5CD9741F">
        <w:rPr>
          <w:rFonts w:ascii="Franklin Gothic Book" w:eastAsia="Franklin Gothic Book" w:hAnsi="Franklin Gothic Book" w:cs="Franklin Gothic Book"/>
        </w:rPr>
        <w:t>and instructors who utilize PTS services.</w:t>
      </w:r>
    </w:p>
    <w:p w14:paraId="3F6E75A9" w14:textId="28FD623A" w:rsidR="7257E324" w:rsidRDefault="05883EE1" w:rsidP="5CD9741F">
      <w:pPr>
        <w:pStyle w:val="ListParagraph"/>
        <w:numPr>
          <w:ilvl w:val="0"/>
          <w:numId w:val="16"/>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A</w:t>
      </w:r>
      <w:r w:rsidR="7257E324" w:rsidRPr="5CD9741F">
        <w:rPr>
          <w:rFonts w:ascii="Franklin Gothic Book" w:eastAsia="Franklin Gothic Book" w:hAnsi="Franklin Gothic Book" w:cs="Franklin Gothic Book"/>
        </w:rPr>
        <w:t xml:space="preserve">ccommodated testing capacity is used more efficiently and effectively. </w:t>
      </w:r>
      <w:r w:rsidR="79676685" w:rsidRPr="5CD9741F">
        <w:rPr>
          <w:rFonts w:ascii="Franklin Gothic Book" w:eastAsia="Franklin Gothic Book" w:hAnsi="Franklin Gothic Book" w:cs="Franklin Gothic Book"/>
        </w:rPr>
        <w:t>This c</w:t>
      </w:r>
      <w:r w:rsidR="7257E324" w:rsidRPr="5CD9741F">
        <w:rPr>
          <w:rFonts w:ascii="Franklin Gothic Book" w:eastAsia="Franklin Gothic Book" w:hAnsi="Franklin Gothic Book" w:cs="Franklin Gothic Book"/>
        </w:rPr>
        <w:t>apacity is defined as space, staffing and time resources.</w:t>
      </w:r>
    </w:p>
    <w:p w14:paraId="33DB47F9" w14:textId="0547EA2D" w:rsidR="7257E324" w:rsidRDefault="7257E324" w:rsidP="5CD9741F">
      <w:pPr>
        <w:pStyle w:val="ListParagraph"/>
        <w:numPr>
          <w:ilvl w:val="0"/>
          <w:numId w:val="16"/>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Instructors fully understand their role and choices regarding accommodated testing.</w:t>
      </w:r>
    </w:p>
    <w:p w14:paraId="256F9612" w14:textId="2BF694FE" w:rsidR="7257E324" w:rsidRDefault="7257E324" w:rsidP="5CD9741F">
      <w:pPr>
        <w:pStyle w:val="ListParagraph"/>
        <w:numPr>
          <w:ilvl w:val="0"/>
          <w:numId w:val="16"/>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The university community becomes more aware of the variety of services offered by PTS, increasing the overall number of exams proctored.</w:t>
      </w:r>
    </w:p>
    <w:p w14:paraId="0FB3BFA3" w14:textId="5805C92E" w:rsidR="7257E324" w:rsidRDefault="3CCE8B0F" w:rsidP="5CD9741F">
      <w:pPr>
        <w:pStyle w:val="ListParagraph"/>
        <w:numPr>
          <w:ilvl w:val="0"/>
          <w:numId w:val="16"/>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A</w:t>
      </w:r>
      <w:r w:rsidR="7257E324" w:rsidRPr="5CD9741F">
        <w:rPr>
          <w:rFonts w:ascii="Franklin Gothic Book" w:eastAsia="Franklin Gothic Book" w:hAnsi="Franklin Gothic Book" w:cs="Franklin Gothic Book"/>
        </w:rPr>
        <w:t xml:space="preserve"> robust communication plan </w:t>
      </w:r>
      <w:r w:rsidR="16EB04DF" w:rsidRPr="5CD9741F">
        <w:rPr>
          <w:rFonts w:ascii="Franklin Gothic Book" w:eastAsia="Franklin Gothic Book" w:hAnsi="Franklin Gothic Book" w:cs="Franklin Gothic Book"/>
        </w:rPr>
        <w:t xml:space="preserve">is developed </w:t>
      </w:r>
      <w:r w:rsidR="7257E324" w:rsidRPr="5CD9741F">
        <w:rPr>
          <w:rFonts w:ascii="Franklin Gothic Book" w:eastAsia="Franklin Gothic Book" w:hAnsi="Franklin Gothic Book" w:cs="Franklin Gothic Book"/>
        </w:rPr>
        <w:t>to ensure consistent messaging and marketing to all constituents.</w:t>
      </w:r>
    </w:p>
    <w:p w14:paraId="647B572B" w14:textId="58AB7AA4" w:rsidR="00CA4343" w:rsidRPr="0028136A" w:rsidRDefault="7257E324" w:rsidP="0028136A">
      <w:pPr>
        <w:pStyle w:val="ListParagraph"/>
        <w:numPr>
          <w:ilvl w:val="0"/>
          <w:numId w:val="16"/>
        </w:num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All processes and procedures are fully documented.</w:t>
      </w:r>
    </w:p>
    <w:p w14:paraId="5D057935" w14:textId="50E3ACE7" w:rsidR="5CD9741F" w:rsidRDefault="5CD9741F" w:rsidP="5CD9741F">
      <w:pPr>
        <w:spacing w:after="0"/>
        <w:rPr>
          <w:rFonts w:ascii="Franklin Gothic Book" w:eastAsia="Franklin Gothic Book" w:hAnsi="Franklin Gothic Book" w:cs="Franklin Gothic Book"/>
        </w:rPr>
      </w:pPr>
    </w:p>
    <w:p w14:paraId="5FA15DAB" w14:textId="77777777" w:rsidR="00235D2B" w:rsidRDefault="00235D2B" w:rsidP="5CD9741F">
      <w:pPr>
        <w:spacing w:after="0"/>
        <w:rPr>
          <w:rFonts w:ascii="Franklin Gothic Book" w:eastAsia="Franklin Gothic Book" w:hAnsi="Franklin Gothic Book" w:cs="Franklin Gothic Book"/>
        </w:rPr>
      </w:pPr>
    </w:p>
    <w:p w14:paraId="53C48706" w14:textId="31AAEB12" w:rsidR="008E3917" w:rsidRPr="000A5F33" w:rsidRDefault="000847EA" w:rsidP="5CD9741F">
      <w:pPr>
        <w:pStyle w:val="Heading2"/>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NOTABLE CHANGES FROM 20</w:t>
      </w:r>
      <w:r w:rsidR="001725E2" w:rsidRPr="5CD9741F">
        <w:rPr>
          <w:rFonts w:ascii="Franklin Gothic Book" w:eastAsia="Franklin Gothic Book" w:hAnsi="Franklin Gothic Book" w:cs="Franklin Gothic Book"/>
        </w:rPr>
        <w:t>2</w:t>
      </w:r>
      <w:r w:rsidR="00235D2B">
        <w:rPr>
          <w:rFonts w:ascii="Franklin Gothic Book" w:eastAsia="Franklin Gothic Book" w:hAnsi="Franklin Gothic Book" w:cs="Franklin Gothic Book"/>
        </w:rPr>
        <w:t>4</w:t>
      </w:r>
      <w:r w:rsidRPr="5CD9741F">
        <w:rPr>
          <w:rFonts w:ascii="Franklin Gothic Book" w:eastAsia="Franklin Gothic Book" w:hAnsi="Franklin Gothic Book" w:cs="Franklin Gothic Book"/>
        </w:rPr>
        <w:t>-2</w:t>
      </w:r>
      <w:r w:rsidR="00235D2B">
        <w:rPr>
          <w:rFonts w:ascii="Franklin Gothic Book" w:eastAsia="Franklin Gothic Book" w:hAnsi="Franklin Gothic Book" w:cs="Franklin Gothic Book"/>
        </w:rPr>
        <w:t>5</w:t>
      </w:r>
      <w:r w:rsidR="00426BB6" w:rsidRPr="5CD9741F">
        <w:rPr>
          <w:rFonts w:ascii="Franklin Gothic Book" w:eastAsia="Franklin Gothic Book" w:hAnsi="Franklin Gothic Book" w:cs="Franklin Gothic Book"/>
        </w:rPr>
        <w:t xml:space="preserve"> A</w:t>
      </w:r>
      <w:r w:rsidR="2BC09ADD" w:rsidRPr="5CD9741F">
        <w:rPr>
          <w:rFonts w:ascii="Franklin Gothic Book" w:eastAsia="Franklin Gothic Book" w:hAnsi="Franklin Gothic Book" w:cs="Franklin Gothic Book"/>
        </w:rPr>
        <w:t>CADEMIC YEAR</w:t>
      </w:r>
    </w:p>
    <w:p w14:paraId="79F77DCA" w14:textId="2FCC8257" w:rsidR="00D27A7C" w:rsidRPr="00D9350F" w:rsidRDefault="00D27A7C" w:rsidP="00D27A7C">
      <w:pPr>
        <w:pStyle w:val="Heading3"/>
        <w:rPr>
          <w:rFonts w:ascii="Franklin Gothic Book" w:hAnsi="Franklin Gothic Book"/>
          <w:sz w:val="22"/>
          <w:szCs w:val="22"/>
        </w:rPr>
      </w:pPr>
      <w:r w:rsidRPr="00D9350F">
        <w:rPr>
          <w:rFonts w:ascii="Franklin Gothic Book" w:hAnsi="Franklin Gothic Book"/>
          <w:sz w:val="22"/>
          <w:szCs w:val="22"/>
        </w:rPr>
        <w:t>Organizational and Operational Achievements</w:t>
      </w:r>
    </w:p>
    <w:p w14:paraId="1749A7EB" w14:textId="55A71220" w:rsidR="00D27A7C" w:rsidRPr="00D27A7C" w:rsidRDefault="00D27A7C" w:rsidP="00D27A7C">
      <w:pPr>
        <w:pStyle w:val="ListParagraph"/>
        <w:numPr>
          <w:ilvl w:val="0"/>
          <w:numId w:val="20"/>
        </w:numPr>
        <w:rPr>
          <w:rFonts w:ascii="Franklin Gothic Book" w:hAnsi="Franklin Gothic Book"/>
        </w:rPr>
      </w:pPr>
      <w:r>
        <w:t xml:space="preserve">Secured a five-year agreement with the Purdue Memorial Union (PMU) and Registrar to guarantee use </w:t>
      </w:r>
      <w:r w:rsidRPr="00D27A7C">
        <w:rPr>
          <w:rFonts w:ascii="Franklin Gothic Book" w:hAnsi="Franklin Gothic Book"/>
        </w:rPr>
        <w:t>of Stewart Center’s (STEW) second-floor rooms for accommodated final exam administration.</w:t>
      </w:r>
    </w:p>
    <w:p w14:paraId="5B0310E8" w14:textId="2CA3C7E8"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Partnered with the Registrar to reserve STEW 314 and 320 nightly as additional proctoring spaces, increasing nightly seat capacity from 79 to 151.</w:t>
      </w:r>
    </w:p>
    <w:p w14:paraId="37FA8B0D" w14:textId="0839ED88"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Proactively collaborated with the Registrar and the Center for Instructional Excellence (CIE) to identify dates with high demand for accommodated testing. By analyzing scheduling patterns and peak exam times, PTS anticipated increased testing needs and implemented solutions such as reserving extra spaces and utilizing a trained proctor pool. PTS also partnered with academic departments and emailed instructors before the start of each semester to share projected peak testing dates, helping faculty plan in advance and minimize scheduling conflicts.</w:t>
      </w:r>
    </w:p>
    <w:p w14:paraId="2D273994" w14:textId="77777777"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Completed an internal restructure to align staff positions more closely with operational needs. Three existing positions were redesigned, resulting in the creation of a salaried Operations Manager role and two 10-month hourly positions — Testing Services Administrator and Administrative Assistant. Transitioning these positions to 10-month appointments better matched staffing levels with summer service demands while maintaining operational efficiency.</w:t>
      </w:r>
    </w:p>
    <w:p w14:paraId="74A74359" w14:textId="77777777"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Expanded vendor testing services by purchasing additional computers, increasing ETS and Pearson exam seat capacity from 14 to 20. Dedicated student proctors were hired to ensure compliance with ETS in-room staffing requirements, improving efficiency and allowing full-time staff to focus on critical administrative responsibilities.</w:t>
      </w:r>
    </w:p>
    <w:p w14:paraId="31158EE5" w14:textId="77777777"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Added the Air Force Officer Qualifying Test (AFOQT) to its PearsonVue offerings in partnership with the ROTC program. This required completing PearsonVue’s certification process, strengthening both PTS’s testing portfolio and its collaboration with campus partners.</w:t>
      </w:r>
    </w:p>
    <w:p w14:paraId="3CA19837" w14:textId="77777777"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Collaborated with RegisterBlast to implement several system enhancements, including a new bulk exam coversheet printing feature that consolidates accommodation details, appointment information, and instructor instructions into a single document. This improvement streamlined exam preparation and reduced potential for human error.</w:t>
      </w:r>
    </w:p>
    <w:p w14:paraId="022F94BC" w14:textId="77777777"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Established an internal proctor pool of trained student staff specifically for finals week, improving efficiency, increasing coverage, and enhancing exam administration during peak periods.</w:t>
      </w:r>
    </w:p>
    <w:p w14:paraId="4B452149" w14:textId="573BCEEF" w:rsidR="00D27A7C" w:rsidRPr="00D27A7C" w:rsidRDefault="00D27A7C" w:rsidP="00D27A7C">
      <w:pPr>
        <w:pStyle w:val="ListParagraph"/>
        <w:numPr>
          <w:ilvl w:val="0"/>
          <w:numId w:val="20"/>
        </w:numPr>
        <w:rPr>
          <w:rFonts w:ascii="Franklin Gothic Book" w:hAnsi="Franklin Gothic Book"/>
        </w:rPr>
      </w:pPr>
      <w:r w:rsidRPr="00D27A7C">
        <w:rPr>
          <w:rFonts w:ascii="Franklin Gothic Book" w:hAnsi="Franklin Gothic Book"/>
        </w:rPr>
        <w:t>Analyzed campus-wide demand for accommodated testing, identified unmet needs, and submitted findings to university leaders to inform future planning and resource allocation.</w:t>
      </w:r>
    </w:p>
    <w:p w14:paraId="0D00C116" w14:textId="0208CE3C" w:rsidR="00D27A7C" w:rsidRPr="00D9350F" w:rsidRDefault="00D27A7C" w:rsidP="00D27A7C">
      <w:pPr>
        <w:pStyle w:val="Heading3"/>
        <w:rPr>
          <w:rFonts w:ascii="Franklin Gothic Book" w:hAnsi="Franklin Gothic Book"/>
          <w:sz w:val="22"/>
          <w:szCs w:val="22"/>
        </w:rPr>
      </w:pPr>
      <w:r w:rsidRPr="00D9350F">
        <w:rPr>
          <w:rFonts w:ascii="Franklin Gothic Book" w:hAnsi="Franklin Gothic Book"/>
          <w:sz w:val="22"/>
          <w:szCs w:val="22"/>
        </w:rPr>
        <w:lastRenderedPageBreak/>
        <w:t>Staff and Professional Highlights</w:t>
      </w:r>
    </w:p>
    <w:p w14:paraId="38649D7A" w14:textId="45DF0E57" w:rsidR="00D27A7C" w:rsidRPr="00D27A7C" w:rsidRDefault="00D27A7C" w:rsidP="00D27A7C">
      <w:pPr>
        <w:pStyle w:val="ListParagraph"/>
        <w:numPr>
          <w:ilvl w:val="0"/>
          <w:numId w:val="21"/>
        </w:numPr>
        <w:rPr>
          <w:rFonts w:ascii="Franklin Gothic Book" w:hAnsi="Franklin Gothic Book"/>
        </w:rPr>
      </w:pPr>
      <w:r w:rsidRPr="00D27A7C">
        <w:rPr>
          <w:rFonts w:ascii="Franklin Gothic Book" w:hAnsi="Franklin Gothic Book"/>
        </w:rPr>
        <w:t>Bahiyyih Baker was promoted from Senior Test Administrator to Assistant Director, Vendor Testing in April 2025.</w:t>
      </w:r>
    </w:p>
    <w:p w14:paraId="43EC915F" w14:textId="577323B2" w:rsidR="00D27A7C" w:rsidRPr="00D27A7C" w:rsidRDefault="00D27A7C" w:rsidP="00D27A7C">
      <w:pPr>
        <w:pStyle w:val="ListParagraph"/>
        <w:numPr>
          <w:ilvl w:val="0"/>
          <w:numId w:val="21"/>
        </w:numPr>
        <w:rPr>
          <w:rFonts w:ascii="Franklin Gothic Book" w:hAnsi="Franklin Gothic Book"/>
        </w:rPr>
      </w:pPr>
      <w:r w:rsidRPr="00D27A7C">
        <w:rPr>
          <w:rFonts w:ascii="Franklin Gothic Book" w:hAnsi="Franklin Gothic Book"/>
        </w:rPr>
        <w:t>PTS welcomed several new team members as part of the office restructure:</w:t>
      </w:r>
    </w:p>
    <w:p w14:paraId="247BBFCF" w14:textId="3CE610C0" w:rsidR="00D27A7C" w:rsidRPr="00D27A7C" w:rsidRDefault="00D27A7C" w:rsidP="00D27A7C">
      <w:pPr>
        <w:pStyle w:val="ListParagraph"/>
        <w:numPr>
          <w:ilvl w:val="1"/>
          <w:numId w:val="21"/>
        </w:numPr>
        <w:rPr>
          <w:rFonts w:ascii="Franklin Gothic Book" w:hAnsi="Franklin Gothic Book"/>
        </w:rPr>
      </w:pPr>
      <w:r w:rsidRPr="00D27A7C">
        <w:rPr>
          <w:rFonts w:ascii="Franklin Gothic Book" w:hAnsi="Franklin Gothic Book"/>
        </w:rPr>
        <w:t>Gail Dick, Administrative Assistant (April 2025)</w:t>
      </w:r>
    </w:p>
    <w:p w14:paraId="7BA3D513" w14:textId="5B1F7DDD" w:rsidR="00D27A7C" w:rsidRPr="00D27A7C" w:rsidRDefault="00D27A7C" w:rsidP="00D27A7C">
      <w:pPr>
        <w:pStyle w:val="ListParagraph"/>
        <w:numPr>
          <w:ilvl w:val="1"/>
          <w:numId w:val="21"/>
        </w:numPr>
        <w:rPr>
          <w:rFonts w:ascii="Franklin Gothic Book" w:hAnsi="Franklin Gothic Book"/>
        </w:rPr>
      </w:pPr>
      <w:r w:rsidRPr="00D27A7C">
        <w:rPr>
          <w:rFonts w:ascii="Franklin Gothic Book" w:hAnsi="Franklin Gothic Book"/>
        </w:rPr>
        <w:t>Dave Oney, Operations Manager (June 2025)</w:t>
      </w:r>
    </w:p>
    <w:p w14:paraId="3B1D2474" w14:textId="632C9AE8" w:rsidR="00D27A7C" w:rsidRPr="00D27A7C" w:rsidRDefault="00D27A7C" w:rsidP="00D27A7C">
      <w:pPr>
        <w:pStyle w:val="ListParagraph"/>
        <w:numPr>
          <w:ilvl w:val="1"/>
          <w:numId w:val="21"/>
        </w:numPr>
        <w:rPr>
          <w:rFonts w:ascii="Franklin Gothic Book" w:hAnsi="Franklin Gothic Book"/>
        </w:rPr>
      </w:pPr>
      <w:r w:rsidRPr="00D27A7C">
        <w:rPr>
          <w:rFonts w:ascii="Franklin Gothic Book" w:hAnsi="Franklin Gothic Book"/>
        </w:rPr>
        <w:t>Emily Phillips, Testing Services Administrator (August 2025)</w:t>
      </w:r>
    </w:p>
    <w:p w14:paraId="395CD944" w14:textId="54C54BE6" w:rsidR="00D27A7C" w:rsidRPr="00D27A7C" w:rsidRDefault="00D27A7C" w:rsidP="00D27A7C">
      <w:pPr>
        <w:pStyle w:val="ListParagraph"/>
        <w:numPr>
          <w:ilvl w:val="0"/>
          <w:numId w:val="21"/>
        </w:numPr>
        <w:rPr>
          <w:rFonts w:ascii="Franklin Gothic Book" w:hAnsi="Franklin Gothic Book"/>
        </w:rPr>
      </w:pPr>
      <w:r w:rsidRPr="00D27A7C">
        <w:rPr>
          <w:rFonts w:ascii="Franklin Gothic Book" w:hAnsi="Franklin Gothic Book"/>
        </w:rPr>
        <w:t>PTS leadership attended the National Collegiate Testing Association (NCTA) Conference in July 2025. Director Kelsey Jordan presented three sessions:</w:t>
      </w:r>
    </w:p>
    <w:p w14:paraId="57D32ECD" w14:textId="1DC25AD3" w:rsidR="00D27A7C" w:rsidRPr="00D27A7C" w:rsidRDefault="00D27A7C" w:rsidP="00D27A7C">
      <w:pPr>
        <w:pStyle w:val="ListParagraph"/>
        <w:numPr>
          <w:ilvl w:val="1"/>
          <w:numId w:val="21"/>
        </w:numPr>
        <w:rPr>
          <w:rFonts w:ascii="Franklin Gothic Book" w:hAnsi="Franklin Gothic Book"/>
          <w:i/>
          <w:iCs/>
        </w:rPr>
      </w:pPr>
      <w:r w:rsidRPr="00D27A7C">
        <w:rPr>
          <w:rFonts w:ascii="Franklin Gothic Book" w:hAnsi="Franklin Gothic Book"/>
          <w:i/>
          <w:iCs/>
        </w:rPr>
        <w:t>Accommodated Testing Demystified: Ask the Experts</w:t>
      </w:r>
    </w:p>
    <w:p w14:paraId="22CB0650" w14:textId="202C6D38" w:rsidR="00D27A7C" w:rsidRPr="00D27A7C" w:rsidRDefault="00D27A7C" w:rsidP="00D27A7C">
      <w:pPr>
        <w:pStyle w:val="ListParagraph"/>
        <w:numPr>
          <w:ilvl w:val="1"/>
          <w:numId w:val="21"/>
        </w:numPr>
        <w:rPr>
          <w:rFonts w:ascii="Franklin Gothic Book" w:hAnsi="Franklin Gothic Book"/>
          <w:i/>
          <w:iCs/>
        </w:rPr>
      </w:pPr>
      <w:r w:rsidRPr="00D27A7C">
        <w:rPr>
          <w:rFonts w:ascii="Franklin Gothic Book" w:hAnsi="Franklin Gothic Book"/>
          <w:i/>
          <w:iCs/>
        </w:rPr>
        <w:t>Leveraging Collaboration: Insights from the Big Ten Academic Alliance Testing Group</w:t>
      </w:r>
    </w:p>
    <w:p w14:paraId="4E0BEEEA" w14:textId="351303FD" w:rsidR="00D27A7C" w:rsidRPr="00D27A7C" w:rsidRDefault="00D27A7C" w:rsidP="00D27A7C">
      <w:pPr>
        <w:pStyle w:val="ListParagraph"/>
        <w:numPr>
          <w:ilvl w:val="1"/>
          <w:numId w:val="21"/>
        </w:numPr>
        <w:rPr>
          <w:rFonts w:ascii="Franklin Gothic Book" w:hAnsi="Franklin Gothic Book"/>
          <w:i/>
          <w:iCs/>
        </w:rPr>
      </w:pPr>
      <w:r w:rsidRPr="00D27A7C">
        <w:rPr>
          <w:rFonts w:ascii="Franklin Gothic Book" w:hAnsi="Franklin Gothic Book"/>
          <w:i/>
          <w:iCs/>
        </w:rPr>
        <w:t>Special Interest Group (SIG) Coffee Date</w:t>
      </w:r>
    </w:p>
    <w:p w14:paraId="73FF5F74" w14:textId="3AD95FE0" w:rsidR="00D27A7C" w:rsidRPr="00D27A7C" w:rsidRDefault="00D27A7C" w:rsidP="00D27A7C">
      <w:pPr>
        <w:pStyle w:val="ListParagraph"/>
        <w:numPr>
          <w:ilvl w:val="0"/>
          <w:numId w:val="21"/>
        </w:numPr>
        <w:rPr>
          <w:rFonts w:ascii="Franklin Gothic Book" w:hAnsi="Franklin Gothic Book"/>
        </w:rPr>
      </w:pPr>
      <w:r w:rsidRPr="00D27A7C">
        <w:rPr>
          <w:rFonts w:ascii="Franklin Gothic Book" w:hAnsi="Franklin Gothic Book"/>
        </w:rPr>
        <w:t>Kelsey Jordan was elected to the NCTA Governing Council for a three-year term, providing leadership and oversight for the organization’s Professional Services Division.</w:t>
      </w:r>
    </w:p>
    <w:p w14:paraId="178563F6" w14:textId="2F2A0466" w:rsidR="004F3B2E" w:rsidRPr="000A5F33" w:rsidRDefault="008B0E19" w:rsidP="5CD9741F">
      <w:pPr>
        <w:spacing w:after="0" w:line="240" w:lineRule="auto"/>
        <w:rPr>
          <w:rFonts w:ascii="Franklin Gothic Book" w:eastAsia="Franklin Gothic Book" w:hAnsi="Franklin Gothic Book" w:cs="Franklin Gothic Book"/>
          <w:b/>
          <w:bCs/>
          <w:sz w:val="26"/>
          <w:szCs w:val="26"/>
        </w:rPr>
      </w:pPr>
      <w:r w:rsidRPr="5CD9741F">
        <w:rPr>
          <w:rFonts w:ascii="Franklin Gothic Book" w:eastAsia="Franklin Gothic Book" w:hAnsi="Franklin Gothic Book" w:cs="Franklin Gothic Book"/>
          <w:b/>
          <w:bCs/>
          <w:sz w:val="26"/>
          <w:szCs w:val="26"/>
        </w:rPr>
        <w:t>PROGRAM ASSESSMENT</w:t>
      </w:r>
    </w:p>
    <w:p w14:paraId="068A4D38" w14:textId="77777777" w:rsidR="00D21C6C" w:rsidRDefault="00D21C6C" w:rsidP="5CD9741F">
      <w:pPr>
        <w:pStyle w:val="ListParagraph"/>
        <w:numPr>
          <w:ilvl w:val="0"/>
          <w:numId w:val="17"/>
        </w:numPr>
        <w:spacing w:after="0" w:line="240" w:lineRule="auto"/>
        <w:rPr>
          <w:rFonts w:ascii="Franklin Gothic Book" w:eastAsia="Franklin Gothic Book" w:hAnsi="Franklin Gothic Book" w:cs="Franklin Gothic Book"/>
        </w:rPr>
      </w:pPr>
      <w:r w:rsidRPr="00D21C6C">
        <w:rPr>
          <w:rFonts w:ascii="Franklin Gothic Book" w:eastAsia="Franklin Gothic Book" w:hAnsi="Franklin Gothic Book" w:cs="Franklin Gothic Book"/>
        </w:rPr>
        <w:t>Initiate the use of a survey to collect and analyze data on the population served by vendor-based exams to inform service decisions, while actively investigating strategies to enhance the quality, reach, and effectiveness of PTS user feedback methods.</w:t>
      </w:r>
    </w:p>
    <w:p w14:paraId="5A17F20A" w14:textId="495CC1F9" w:rsidR="00F87248" w:rsidRPr="000A5F33" w:rsidRDefault="7FF2AD06" w:rsidP="5CD9741F">
      <w:pPr>
        <w:pStyle w:val="ListParagraph"/>
        <w:numPr>
          <w:ilvl w:val="0"/>
          <w:numId w:val="17"/>
        </w:numPr>
        <w:spacing w:after="0" w:line="240" w:lineRule="auto"/>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Explore and evaluate</w:t>
      </w:r>
      <w:r w:rsidR="7DC3A2C0" w:rsidRPr="5CD9741F">
        <w:rPr>
          <w:rFonts w:ascii="Franklin Gothic Book" w:eastAsia="Franklin Gothic Book" w:hAnsi="Franklin Gothic Book" w:cs="Franklin Gothic Book"/>
        </w:rPr>
        <w:t xml:space="preserve"> the experience of instructors who utilize PTS to administer accommodated exams </w:t>
      </w:r>
      <w:r w:rsidR="703658FE" w:rsidRPr="5CD9741F">
        <w:rPr>
          <w:rFonts w:ascii="Franklin Gothic Book" w:eastAsia="Franklin Gothic Book" w:hAnsi="Franklin Gothic Book" w:cs="Franklin Gothic Book"/>
        </w:rPr>
        <w:t xml:space="preserve">to </w:t>
      </w:r>
      <w:r w:rsidR="7DC3A2C0" w:rsidRPr="5CD9741F">
        <w:rPr>
          <w:rFonts w:ascii="Franklin Gothic Book" w:eastAsia="Franklin Gothic Book" w:hAnsi="Franklin Gothic Book" w:cs="Franklin Gothic Book"/>
        </w:rPr>
        <w:t>improve service</w:t>
      </w:r>
      <w:r w:rsidR="789C5AF2" w:rsidRPr="5CD9741F">
        <w:rPr>
          <w:rFonts w:ascii="Franklin Gothic Book" w:eastAsia="Franklin Gothic Book" w:hAnsi="Franklin Gothic Book" w:cs="Franklin Gothic Book"/>
        </w:rPr>
        <w:t>s</w:t>
      </w:r>
      <w:r w:rsidR="7DC3A2C0" w:rsidRPr="5CD9741F">
        <w:rPr>
          <w:rFonts w:ascii="Franklin Gothic Book" w:eastAsia="Franklin Gothic Book" w:hAnsi="Franklin Gothic Book" w:cs="Franklin Gothic Book"/>
        </w:rPr>
        <w:t xml:space="preserve"> (</w:t>
      </w:r>
      <w:r w:rsidR="789C5AF2" w:rsidRPr="5CD9741F">
        <w:rPr>
          <w:rFonts w:ascii="Franklin Gothic Book" w:eastAsia="Franklin Gothic Book" w:hAnsi="Franklin Gothic Book" w:cs="Franklin Gothic Book"/>
        </w:rPr>
        <w:t xml:space="preserve">e.g. </w:t>
      </w:r>
      <w:r w:rsidR="7DC3A2C0" w:rsidRPr="5CD9741F">
        <w:rPr>
          <w:rFonts w:ascii="Franklin Gothic Book" w:eastAsia="Franklin Gothic Book" w:hAnsi="Franklin Gothic Book" w:cs="Franklin Gothic Book"/>
        </w:rPr>
        <w:t>end</w:t>
      </w:r>
      <w:r w:rsidR="07F382EC" w:rsidRPr="5CD9741F">
        <w:rPr>
          <w:rFonts w:ascii="Franklin Gothic Book" w:eastAsia="Franklin Gothic Book" w:hAnsi="Franklin Gothic Book" w:cs="Franklin Gothic Book"/>
        </w:rPr>
        <w:t>-</w:t>
      </w:r>
      <w:r w:rsidR="7DC3A2C0" w:rsidRPr="5CD9741F">
        <w:rPr>
          <w:rFonts w:ascii="Franklin Gothic Book" w:eastAsia="Franklin Gothic Book" w:hAnsi="Franklin Gothic Book" w:cs="Franklin Gothic Book"/>
        </w:rPr>
        <w:t>of</w:t>
      </w:r>
      <w:r w:rsidR="12B6ADC8" w:rsidRPr="5CD9741F">
        <w:rPr>
          <w:rFonts w:ascii="Franklin Gothic Book" w:eastAsia="Franklin Gothic Book" w:hAnsi="Franklin Gothic Book" w:cs="Franklin Gothic Book"/>
        </w:rPr>
        <w:t>-</w:t>
      </w:r>
      <w:r w:rsidR="7DC3A2C0" w:rsidRPr="5CD9741F">
        <w:rPr>
          <w:rFonts w:ascii="Franklin Gothic Book" w:eastAsia="Franklin Gothic Book" w:hAnsi="Franklin Gothic Book" w:cs="Franklin Gothic Book"/>
        </w:rPr>
        <w:t>semester survey</w:t>
      </w:r>
      <w:r w:rsidR="430B7C44" w:rsidRPr="5CD9741F">
        <w:rPr>
          <w:rFonts w:ascii="Franklin Gothic Book" w:eastAsia="Franklin Gothic Book" w:hAnsi="Franklin Gothic Book" w:cs="Franklin Gothic Book"/>
        </w:rPr>
        <w:t>s</w:t>
      </w:r>
      <w:r w:rsidR="789C5AF2" w:rsidRPr="5CD9741F">
        <w:rPr>
          <w:rFonts w:ascii="Franklin Gothic Book" w:eastAsia="Franklin Gothic Book" w:hAnsi="Franklin Gothic Book" w:cs="Franklin Gothic Book"/>
        </w:rPr>
        <w:t xml:space="preserve"> and focus groups</w:t>
      </w:r>
      <w:r w:rsidR="7DC3A2C0" w:rsidRPr="5CD9741F">
        <w:rPr>
          <w:rFonts w:ascii="Franklin Gothic Book" w:eastAsia="Franklin Gothic Book" w:hAnsi="Franklin Gothic Book" w:cs="Franklin Gothic Book"/>
        </w:rPr>
        <w:t>)</w:t>
      </w:r>
      <w:r w:rsidR="789C5AF2" w:rsidRPr="5CD9741F">
        <w:rPr>
          <w:rFonts w:ascii="Franklin Gothic Book" w:eastAsia="Franklin Gothic Book" w:hAnsi="Franklin Gothic Book" w:cs="Franklin Gothic Book"/>
        </w:rPr>
        <w:t>.</w:t>
      </w:r>
      <w:r w:rsidR="34C8F2AD" w:rsidRPr="5CD9741F">
        <w:rPr>
          <w:rFonts w:ascii="Franklin Gothic Book" w:eastAsia="Franklin Gothic Book" w:hAnsi="Franklin Gothic Book" w:cs="Franklin Gothic Book"/>
        </w:rPr>
        <w:t xml:space="preserve"> </w:t>
      </w:r>
      <w:r w:rsidR="53D22505" w:rsidRPr="5CD9741F">
        <w:rPr>
          <w:rFonts w:ascii="Franklin Gothic Book" w:eastAsia="Franklin Gothic Book" w:hAnsi="Franklin Gothic Book" w:cs="Franklin Gothic Book"/>
        </w:rPr>
        <w:t>For example, h</w:t>
      </w:r>
      <w:r w:rsidR="34C8F2AD" w:rsidRPr="5CD9741F">
        <w:rPr>
          <w:rFonts w:ascii="Franklin Gothic Book" w:eastAsia="Franklin Gothic Book" w:hAnsi="Franklin Gothic Book" w:cs="Franklin Gothic Book"/>
        </w:rPr>
        <w:t>ow do</w:t>
      </w:r>
      <w:r w:rsidR="361ECF25" w:rsidRPr="5CD9741F">
        <w:rPr>
          <w:rFonts w:ascii="Franklin Gothic Book" w:eastAsia="Franklin Gothic Book" w:hAnsi="Franklin Gothic Book" w:cs="Franklin Gothic Book"/>
        </w:rPr>
        <w:t>es PTS</w:t>
      </w:r>
      <w:r w:rsidR="34C8F2AD" w:rsidRPr="5CD9741F">
        <w:rPr>
          <w:rFonts w:ascii="Franklin Gothic Book" w:eastAsia="Franklin Gothic Book" w:hAnsi="Franklin Gothic Book" w:cs="Franklin Gothic Book"/>
        </w:rPr>
        <w:t xml:space="preserve"> measure instructor satisfaction? </w:t>
      </w:r>
    </w:p>
    <w:p w14:paraId="63379E99" w14:textId="34D3B849" w:rsidR="00F87248" w:rsidRPr="000A5F33" w:rsidRDefault="00214E64" w:rsidP="5CD9741F">
      <w:pPr>
        <w:pStyle w:val="ListParagraph"/>
        <w:numPr>
          <w:ilvl w:val="0"/>
          <w:numId w:val="17"/>
        </w:numPr>
        <w:spacing w:after="0" w:line="240" w:lineRule="auto"/>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Use available data to better u</w:t>
      </w:r>
      <w:r w:rsidR="00F87248" w:rsidRPr="5CD9741F">
        <w:rPr>
          <w:rFonts w:ascii="Franklin Gothic Book" w:eastAsia="Franklin Gothic Book" w:hAnsi="Franklin Gothic Book" w:cs="Franklin Gothic Book"/>
        </w:rPr>
        <w:t xml:space="preserve">nderstand </w:t>
      </w:r>
      <w:r w:rsidR="449FD62B" w:rsidRPr="5CD9741F">
        <w:rPr>
          <w:rFonts w:ascii="Franklin Gothic Book" w:eastAsia="Franklin Gothic Book" w:hAnsi="Franklin Gothic Book" w:cs="Franklin Gothic Book"/>
        </w:rPr>
        <w:t>the use</w:t>
      </w:r>
      <w:r w:rsidR="00F87248" w:rsidRPr="5CD9741F">
        <w:rPr>
          <w:rFonts w:ascii="Franklin Gothic Book" w:eastAsia="Franklin Gothic Book" w:hAnsi="Franklin Gothic Book" w:cs="Franklin Gothic Book"/>
        </w:rPr>
        <w:t xml:space="preserve"> of </w:t>
      </w:r>
      <w:r w:rsidRPr="5CD9741F">
        <w:rPr>
          <w:rFonts w:ascii="Franklin Gothic Book" w:eastAsia="Franklin Gothic Book" w:hAnsi="Franklin Gothic Book" w:cs="Franklin Gothic Book"/>
        </w:rPr>
        <w:t>staffing, space and time</w:t>
      </w:r>
      <w:r w:rsidR="3591283C" w:rsidRPr="5CD9741F">
        <w:rPr>
          <w:rFonts w:ascii="Franklin Gothic Book" w:eastAsia="Franklin Gothic Book" w:hAnsi="Franklin Gothic Book" w:cs="Franklin Gothic Book"/>
        </w:rPr>
        <w:t xml:space="preserve"> resources</w:t>
      </w:r>
      <w:r w:rsidRPr="5CD9741F">
        <w:rPr>
          <w:rFonts w:ascii="Franklin Gothic Book" w:eastAsia="Franklin Gothic Book" w:hAnsi="Franklin Gothic Book" w:cs="Franklin Gothic Book"/>
        </w:rPr>
        <w:t>.</w:t>
      </w:r>
      <w:r w:rsidR="00F87248" w:rsidRPr="5CD9741F">
        <w:rPr>
          <w:rFonts w:ascii="Franklin Gothic Book" w:eastAsia="Franklin Gothic Book" w:hAnsi="Franklin Gothic Book" w:cs="Franklin Gothic Book"/>
        </w:rPr>
        <w:t xml:space="preserve"> </w:t>
      </w:r>
    </w:p>
    <w:p w14:paraId="437B62FE" w14:textId="4693029B" w:rsidR="00214E64" w:rsidRPr="000A5F33" w:rsidRDefault="00214E64" w:rsidP="5CD9741F">
      <w:pPr>
        <w:pStyle w:val="ListParagraph"/>
        <w:numPr>
          <w:ilvl w:val="0"/>
          <w:numId w:val="17"/>
        </w:numPr>
        <w:spacing w:after="0" w:line="240" w:lineRule="auto"/>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 xml:space="preserve">Determine the need for vendor exams at Purdue and if there are some vendor exams </w:t>
      </w:r>
      <w:r w:rsidR="36473CEC" w:rsidRPr="5CD9741F">
        <w:rPr>
          <w:rFonts w:ascii="Franklin Gothic Book" w:eastAsia="Franklin Gothic Book" w:hAnsi="Franklin Gothic Book" w:cs="Franklin Gothic Book"/>
        </w:rPr>
        <w:t>PTS is</w:t>
      </w:r>
      <w:r w:rsidRPr="5CD9741F">
        <w:rPr>
          <w:rFonts w:ascii="Franklin Gothic Book" w:eastAsia="Franklin Gothic Book" w:hAnsi="Franklin Gothic Book" w:cs="Franklin Gothic Book"/>
        </w:rPr>
        <w:t xml:space="preserve"> not offering </w:t>
      </w:r>
      <w:r w:rsidR="0DA58BE4" w:rsidRPr="5CD9741F">
        <w:rPr>
          <w:rFonts w:ascii="Franklin Gothic Book" w:eastAsia="Franklin Gothic Book" w:hAnsi="Franklin Gothic Book" w:cs="Franklin Gothic Book"/>
        </w:rPr>
        <w:t>but</w:t>
      </w:r>
      <w:r w:rsidRPr="5CD9741F">
        <w:rPr>
          <w:rFonts w:ascii="Franklin Gothic Book" w:eastAsia="Franklin Gothic Book" w:hAnsi="Franklin Gothic Book" w:cs="Franklin Gothic Book"/>
        </w:rPr>
        <w:t xml:space="preserve"> should be. </w:t>
      </w:r>
    </w:p>
    <w:p w14:paraId="5E464FE4" w14:textId="313E08EB" w:rsidR="7FF2AD06" w:rsidRDefault="7FF2AD06" w:rsidP="5CD9741F">
      <w:pPr>
        <w:pStyle w:val="ListParagraph"/>
        <w:numPr>
          <w:ilvl w:val="0"/>
          <w:numId w:val="17"/>
        </w:numPr>
        <w:spacing w:after="0" w:line="240" w:lineRule="auto"/>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Measure</w:t>
      </w:r>
      <w:r w:rsidR="2D6228DB" w:rsidRPr="5CD9741F">
        <w:rPr>
          <w:rFonts w:ascii="Franklin Gothic Book" w:eastAsia="Franklin Gothic Book" w:hAnsi="Franklin Gothic Book" w:cs="Franklin Gothic Book"/>
        </w:rPr>
        <w:t xml:space="preserve"> the effectiveness of communications with each constituent </w:t>
      </w:r>
      <w:r w:rsidR="789C5AF2" w:rsidRPr="5CD9741F">
        <w:rPr>
          <w:rFonts w:ascii="Franklin Gothic Book" w:eastAsia="Franklin Gothic Book" w:hAnsi="Franklin Gothic Book" w:cs="Franklin Gothic Book"/>
        </w:rPr>
        <w:t>through the use of w</w:t>
      </w:r>
      <w:r w:rsidR="2D6228DB" w:rsidRPr="5CD9741F">
        <w:rPr>
          <w:rFonts w:ascii="Franklin Gothic Book" w:eastAsia="Franklin Gothic Book" w:hAnsi="Franklin Gothic Book" w:cs="Franklin Gothic Book"/>
        </w:rPr>
        <w:t xml:space="preserve">eb </w:t>
      </w:r>
      <w:r w:rsidR="789C5AF2" w:rsidRPr="5CD9741F">
        <w:rPr>
          <w:rFonts w:ascii="Franklin Gothic Book" w:eastAsia="Franklin Gothic Book" w:hAnsi="Franklin Gothic Book" w:cs="Franklin Gothic Book"/>
        </w:rPr>
        <w:t>a</w:t>
      </w:r>
      <w:r w:rsidR="2D6228DB" w:rsidRPr="5CD9741F">
        <w:rPr>
          <w:rFonts w:ascii="Franklin Gothic Book" w:eastAsia="Franklin Gothic Book" w:hAnsi="Franklin Gothic Book" w:cs="Franklin Gothic Book"/>
        </w:rPr>
        <w:t>nalytics</w:t>
      </w:r>
      <w:r w:rsidR="789C5AF2" w:rsidRPr="5CD9741F">
        <w:rPr>
          <w:rFonts w:ascii="Franklin Gothic Book" w:eastAsia="Franklin Gothic Book" w:hAnsi="Franklin Gothic Book" w:cs="Franklin Gothic Book"/>
        </w:rPr>
        <w:t xml:space="preserve"> and data from </w:t>
      </w:r>
      <w:r w:rsidR="00A60113">
        <w:rPr>
          <w:rFonts w:ascii="Franklin Gothic Book" w:eastAsia="Franklin Gothic Book" w:hAnsi="Franklin Gothic Book" w:cs="Franklin Gothic Book"/>
        </w:rPr>
        <w:t xml:space="preserve">an </w:t>
      </w:r>
      <w:r w:rsidR="789C5AF2" w:rsidRPr="5CD9741F">
        <w:rPr>
          <w:rFonts w:ascii="Franklin Gothic Book" w:eastAsia="Franklin Gothic Book" w:hAnsi="Franklin Gothic Book" w:cs="Franklin Gothic Book"/>
        </w:rPr>
        <w:t xml:space="preserve">email campaign tool. </w:t>
      </w:r>
    </w:p>
    <w:p w14:paraId="0476DB46" w14:textId="6C4ED43C" w:rsidR="5CD9741F" w:rsidRDefault="5CD9741F" w:rsidP="5CD9741F">
      <w:pPr>
        <w:spacing w:after="0" w:line="240" w:lineRule="auto"/>
        <w:rPr>
          <w:rFonts w:ascii="Franklin Gothic Book" w:eastAsia="Franklin Gothic Book" w:hAnsi="Franklin Gothic Book" w:cs="Franklin Gothic Book"/>
        </w:rPr>
      </w:pPr>
    </w:p>
    <w:p w14:paraId="3E1993E7" w14:textId="4CCA3687" w:rsidR="5CD9741F" w:rsidRDefault="5CD9741F" w:rsidP="5CD9741F">
      <w:pPr>
        <w:spacing w:after="0" w:line="240" w:lineRule="auto"/>
        <w:rPr>
          <w:rFonts w:ascii="Franklin Gothic Book" w:eastAsia="Franklin Gothic Book" w:hAnsi="Franklin Gothic Book" w:cs="Franklin Gothic Book"/>
        </w:rPr>
      </w:pPr>
    </w:p>
    <w:p w14:paraId="25FE7F8A" w14:textId="77777777" w:rsidR="00E81A3F" w:rsidRPr="000A5F33" w:rsidRDefault="00426BB6" w:rsidP="5CD9741F">
      <w:pPr>
        <w:pStyle w:val="Heading2"/>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 xml:space="preserve">OUR DATA </w:t>
      </w:r>
    </w:p>
    <w:p w14:paraId="33E7243C" w14:textId="2BE8CEFF" w:rsidR="001725E2" w:rsidRPr="00A56955" w:rsidRDefault="00E81A3F"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S</w:t>
      </w:r>
      <w:r w:rsidR="00426BB6" w:rsidRPr="5CD9741F">
        <w:rPr>
          <w:rFonts w:ascii="Franklin Gothic Book" w:eastAsia="Franklin Gothic Book" w:hAnsi="Franklin Gothic Book" w:cs="Franklin Gothic Book"/>
        </w:rPr>
        <w:t>ee attached data summary</w:t>
      </w:r>
      <w:r w:rsidR="48EF793C" w:rsidRPr="5CD9741F">
        <w:rPr>
          <w:rFonts w:ascii="Franklin Gothic Book" w:eastAsia="Franklin Gothic Book" w:hAnsi="Franklin Gothic Book" w:cs="Franklin Gothic Book"/>
        </w:rPr>
        <w:t>.</w:t>
      </w:r>
    </w:p>
    <w:p w14:paraId="2734984F" w14:textId="1B252EB7" w:rsidR="77EBCF3A" w:rsidRDefault="77EBCF3A"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br w:type="page"/>
      </w:r>
    </w:p>
    <w:p w14:paraId="3CC00023" w14:textId="01D8A8F4" w:rsidR="001725E2" w:rsidRDefault="008B0E19" w:rsidP="5CD9741F">
      <w:pPr>
        <w:pStyle w:val="Heading2"/>
        <w:rPr>
          <w:rFonts w:ascii="Franklin Gothic Book" w:eastAsia="Franklin Gothic Book" w:hAnsi="Franklin Gothic Book" w:cs="Franklin Gothic Book"/>
        </w:rPr>
      </w:pPr>
      <w:r w:rsidRPr="5CD9741F">
        <w:rPr>
          <w:rFonts w:ascii="Franklin Gothic Book" w:eastAsia="Franklin Gothic Book" w:hAnsi="Franklin Gothic Book" w:cs="Franklin Gothic Book"/>
        </w:rPr>
        <w:lastRenderedPageBreak/>
        <w:t>ACCOMMODATED ACADEMIC EXAMS TESTING</w:t>
      </w:r>
    </w:p>
    <w:p w14:paraId="51F33E37" w14:textId="34B7ED28" w:rsidR="3A9B3125" w:rsidRPr="00D9350F" w:rsidRDefault="3A9B3125" w:rsidP="00124CCF">
      <w:pPr>
        <w:pStyle w:val="Heading3"/>
        <w:rPr>
          <w:rFonts w:ascii="Franklin Gothic Book" w:eastAsia="Franklin Gothic Book" w:hAnsi="Franklin Gothic Book" w:cs="Franklin Gothic Book"/>
          <w:sz w:val="22"/>
          <w:szCs w:val="22"/>
        </w:rPr>
      </w:pPr>
      <w:r w:rsidRPr="00D9350F">
        <w:rPr>
          <w:rFonts w:ascii="Franklin Gothic Book" w:hAnsi="Franklin Gothic Book"/>
          <w:sz w:val="22"/>
          <w:szCs w:val="22"/>
        </w:rPr>
        <w:t>Students with Active Testing Accommodations vs. Accommodated Students Proctored in PTS</w:t>
      </w:r>
    </w:p>
    <w:p w14:paraId="74BD2546" w14:textId="54AB29BC" w:rsidR="027D5B90" w:rsidRDefault="027D5B90"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Th</w:t>
      </w:r>
      <w:r w:rsidR="704371B9" w:rsidRPr="5CD9741F">
        <w:rPr>
          <w:rFonts w:ascii="Franklin Gothic Book" w:eastAsia="Franklin Gothic Book" w:hAnsi="Franklin Gothic Book" w:cs="Franklin Gothic Book"/>
        </w:rPr>
        <w:t>e</w:t>
      </w:r>
      <w:r w:rsidRPr="5CD9741F">
        <w:rPr>
          <w:rFonts w:ascii="Franklin Gothic Book" w:eastAsia="Franklin Gothic Book" w:hAnsi="Franklin Gothic Book" w:cs="Franklin Gothic Book"/>
        </w:rPr>
        <w:t xml:space="preserve"> bar graph</w:t>
      </w:r>
      <w:r w:rsidR="6046418C" w:rsidRPr="5CD9741F">
        <w:rPr>
          <w:rFonts w:ascii="Franklin Gothic Book" w:eastAsia="Franklin Gothic Book" w:hAnsi="Franklin Gothic Book" w:cs="Franklin Gothic Book"/>
        </w:rPr>
        <w:t xml:space="preserve"> below</w:t>
      </w:r>
      <w:r w:rsidRPr="5CD9741F">
        <w:rPr>
          <w:rFonts w:ascii="Franklin Gothic Book" w:eastAsia="Franklin Gothic Book" w:hAnsi="Franklin Gothic Book" w:cs="Franklin Gothic Book"/>
        </w:rPr>
        <w:t xml:space="preserve"> provides a comparative analysis of the total number of unique students with a</w:t>
      </w:r>
      <w:r w:rsidR="0A72BAC9" w:rsidRPr="5CD9741F">
        <w:rPr>
          <w:rFonts w:ascii="Franklin Gothic Book" w:eastAsia="Franklin Gothic Book" w:hAnsi="Franklin Gothic Book" w:cs="Franklin Gothic Book"/>
        </w:rPr>
        <w:t>ctive</w:t>
      </w:r>
      <w:r w:rsidRPr="5CD9741F">
        <w:rPr>
          <w:rFonts w:ascii="Franklin Gothic Book" w:eastAsia="Franklin Gothic Book" w:hAnsi="Franklin Gothic Book" w:cs="Franklin Gothic Book"/>
        </w:rPr>
        <w:t xml:space="preserve"> testing accommodations</w:t>
      </w:r>
      <w:r w:rsidR="6C58159F" w:rsidRPr="5CD9741F">
        <w:rPr>
          <w:rFonts w:ascii="Franklin Gothic Book" w:eastAsia="Franklin Gothic Book" w:hAnsi="Franklin Gothic Book" w:cs="Franklin Gothic Book"/>
        </w:rPr>
        <w:t xml:space="preserve"> </w:t>
      </w:r>
      <w:r w:rsidR="44700518" w:rsidRPr="5CD9741F">
        <w:rPr>
          <w:rFonts w:ascii="Franklin Gothic Book" w:eastAsia="Franklin Gothic Book" w:hAnsi="Franklin Gothic Book" w:cs="Franklin Gothic Book"/>
        </w:rPr>
        <w:t xml:space="preserve">who </w:t>
      </w:r>
      <w:r w:rsidR="6C58159F" w:rsidRPr="5CD9741F">
        <w:rPr>
          <w:rFonts w:ascii="Franklin Gothic Book" w:eastAsia="Franklin Gothic Book" w:hAnsi="Franklin Gothic Book" w:cs="Franklin Gothic Book"/>
        </w:rPr>
        <w:t>shared their course accommodation letters (CALs) through the DRC</w:t>
      </w:r>
      <w:r w:rsidRPr="5CD9741F">
        <w:rPr>
          <w:rFonts w:ascii="Franklin Gothic Book" w:eastAsia="Franklin Gothic Book" w:hAnsi="Franklin Gothic Book" w:cs="Franklin Gothic Book"/>
        </w:rPr>
        <w:t xml:space="preserve"> versus the number of </w:t>
      </w:r>
      <w:r w:rsidR="29E1964C" w:rsidRPr="5CD9741F">
        <w:rPr>
          <w:rFonts w:ascii="Franklin Gothic Book" w:eastAsia="Franklin Gothic Book" w:hAnsi="Franklin Gothic Book" w:cs="Franklin Gothic Book"/>
        </w:rPr>
        <w:t xml:space="preserve">those </w:t>
      </w:r>
      <w:r w:rsidRPr="5CD9741F">
        <w:rPr>
          <w:rFonts w:ascii="Franklin Gothic Book" w:eastAsia="Franklin Gothic Book" w:hAnsi="Franklin Gothic Book" w:cs="Franklin Gothic Book"/>
        </w:rPr>
        <w:t xml:space="preserve">students who </w:t>
      </w:r>
      <w:r w:rsidR="12BF3E15" w:rsidRPr="5CD9741F">
        <w:rPr>
          <w:rFonts w:ascii="Franklin Gothic Book" w:eastAsia="Franklin Gothic Book" w:hAnsi="Franklin Gothic Book" w:cs="Franklin Gothic Book"/>
        </w:rPr>
        <w:t>took at least one exam with PTS</w:t>
      </w:r>
      <w:r w:rsidRPr="5CD9741F">
        <w:rPr>
          <w:rFonts w:ascii="Franklin Gothic Book" w:eastAsia="Franklin Gothic Book" w:hAnsi="Franklin Gothic Book" w:cs="Franklin Gothic Book"/>
        </w:rPr>
        <w:t xml:space="preserve"> from Fall 202</w:t>
      </w:r>
      <w:r w:rsidR="008509E6">
        <w:rPr>
          <w:rFonts w:ascii="Franklin Gothic Book" w:eastAsia="Franklin Gothic Book" w:hAnsi="Franklin Gothic Book" w:cs="Franklin Gothic Book"/>
        </w:rPr>
        <w:t>2</w:t>
      </w:r>
      <w:r w:rsidRPr="5CD9741F">
        <w:rPr>
          <w:rFonts w:ascii="Franklin Gothic Book" w:eastAsia="Franklin Gothic Book" w:hAnsi="Franklin Gothic Book" w:cs="Franklin Gothic Book"/>
        </w:rPr>
        <w:t xml:space="preserve"> to Spring 202</w:t>
      </w:r>
      <w:r w:rsidR="008509E6">
        <w:rPr>
          <w:rFonts w:ascii="Franklin Gothic Book" w:eastAsia="Franklin Gothic Book" w:hAnsi="Franklin Gothic Book" w:cs="Franklin Gothic Book"/>
        </w:rPr>
        <w:t>5</w:t>
      </w:r>
      <w:r w:rsidRPr="5CD9741F">
        <w:rPr>
          <w:rFonts w:ascii="Franklin Gothic Book" w:eastAsia="Franklin Gothic Book" w:hAnsi="Franklin Gothic Book" w:cs="Franklin Gothic Book"/>
        </w:rPr>
        <w:t>. The data illustrates a consistent increase in both</w:t>
      </w:r>
      <w:r w:rsidR="5A10FD93" w:rsidRPr="5CD9741F">
        <w:rPr>
          <w:rFonts w:ascii="Franklin Gothic Book" w:eastAsia="Franklin Gothic Book" w:hAnsi="Franklin Gothic Book" w:cs="Franklin Gothic Book"/>
        </w:rPr>
        <w:t xml:space="preserve"> students with</w:t>
      </w:r>
      <w:r w:rsidRPr="5CD9741F">
        <w:rPr>
          <w:rFonts w:ascii="Franklin Gothic Book" w:eastAsia="Franklin Gothic Book" w:hAnsi="Franklin Gothic Book" w:cs="Franklin Gothic Book"/>
        </w:rPr>
        <w:t xml:space="preserve"> a</w:t>
      </w:r>
      <w:r w:rsidR="67E4C1C7" w:rsidRPr="5CD9741F">
        <w:rPr>
          <w:rFonts w:ascii="Franklin Gothic Book" w:eastAsia="Franklin Gothic Book" w:hAnsi="Franklin Gothic Book" w:cs="Franklin Gothic Book"/>
        </w:rPr>
        <w:t>ctive</w:t>
      </w:r>
      <w:r w:rsidRPr="5CD9741F">
        <w:rPr>
          <w:rFonts w:ascii="Franklin Gothic Book" w:eastAsia="Franklin Gothic Book" w:hAnsi="Franklin Gothic Book" w:cs="Franklin Gothic Book"/>
        </w:rPr>
        <w:t xml:space="preserve"> accommodations and</w:t>
      </w:r>
      <w:r w:rsidR="5FF50C55" w:rsidRPr="5CD9741F">
        <w:rPr>
          <w:rFonts w:ascii="Franklin Gothic Book" w:eastAsia="Franklin Gothic Book" w:hAnsi="Franklin Gothic Book" w:cs="Franklin Gothic Book"/>
        </w:rPr>
        <w:t xml:space="preserve"> those who took exams with PTS</w:t>
      </w:r>
      <w:r w:rsidRPr="5CD9741F">
        <w:rPr>
          <w:rFonts w:ascii="Franklin Gothic Book" w:eastAsia="Franklin Gothic Book" w:hAnsi="Franklin Gothic Book" w:cs="Franklin Gothic Book"/>
        </w:rPr>
        <w:t xml:space="preserve"> over the academic terms</w:t>
      </w:r>
      <w:r w:rsidR="6019DE45" w:rsidRPr="5CD9741F">
        <w:rPr>
          <w:rFonts w:ascii="Franklin Gothic Book" w:eastAsia="Franklin Gothic Book" w:hAnsi="Franklin Gothic Book" w:cs="Franklin Gothic Book"/>
        </w:rPr>
        <w:t>.</w:t>
      </w:r>
      <w:r w:rsidRPr="5CD9741F">
        <w:rPr>
          <w:rFonts w:ascii="Franklin Gothic Book" w:eastAsia="Franklin Gothic Book" w:hAnsi="Franklin Gothic Book" w:cs="Franklin Gothic Book"/>
        </w:rPr>
        <w:t xml:space="preserve"> Fall 202</w:t>
      </w:r>
      <w:r w:rsidR="008509E6">
        <w:rPr>
          <w:rFonts w:ascii="Franklin Gothic Book" w:eastAsia="Franklin Gothic Book" w:hAnsi="Franklin Gothic Book" w:cs="Franklin Gothic Book"/>
        </w:rPr>
        <w:t>4</w:t>
      </w:r>
      <w:r w:rsidRPr="5CD9741F">
        <w:rPr>
          <w:rFonts w:ascii="Franklin Gothic Book" w:eastAsia="Franklin Gothic Book" w:hAnsi="Franklin Gothic Book" w:cs="Franklin Gothic Book"/>
        </w:rPr>
        <w:t xml:space="preserve"> show</w:t>
      </w:r>
      <w:r w:rsidR="5F0E8AFB" w:rsidRPr="5CD9741F">
        <w:rPr>
          <w:rFonts w:ascii="Franklin Gothic Book" w:eastAsia="Franklin Gothic Book" w:hAnsi="Franklin Gothic Book" w:cs="Franklin Gothic Book"/>
        </w:rPr>
        <w:t>s</w:t>
      </w:r>
      <w:r w:rsidRPr="5CD9741F">
        <w:rPr>
          <w:rFonts w:ascii="Franklin Gothic Book" w:eastAsia="Franklin Gothic Book" w:hAnsi="Franklin Gothic Book" w:cs="Franklin Gothic Book"/>
        </w:rPr>
        <w:t xml:space="preserve"> the highest number of</w:t>
      </w:r>
      <w:r w:rsidR="23E7544B" w:rsidRPr="5CD9741F">
        <w:rPr>
          <w:rFonts w:ascii="Franklin Gothic Book" w:eastAsia="Franklin Gothic Book" w:hAnsi="Franklin Gothic Book" w:cs="Franklin Gothic Book"/>
        </w:rPr>
        <w:t xml:space="preserve"> those with</w:t>
      </w:r>
      <w:r w:rsidRPr="5CD9741F">
        <w:rPr>
          <w:rFonts w:ascii="Franklin Gothic Book" w:eastAsia="Franklin Gothic Book" w:hAnsi="Franklin Gothic Book" w:cs="Franklin Gothic Book"/>
        </w:rPr>
        <w:t xml:space="preserve"> </w:t>
      </w:r>
      <w:r w:rsidR="22634B70" w:rsidRPr="5CD9741F">
        <w:rPr>
          <w:rFonts w:ascii="Franklin Gothic Book" w:eastAsia="Franklin Gothic Book" w:hAnsi="Franklin Gothic Book" w:cs="Franklin Gothic Book"/>
        </w:rPr>
        <w:t xml:space="preserve">active </w:t>
      </w:r>
      <w:r w:rsidR="78EC8752" w:rsidRPr="5CD9741F">
        <w:rPr>
          <w:rFonts w:ascii="Franklin Gothic Book" w:eastAsia="Franklin Gothic Book" w:hAnsi="Franklin Gothic Book" w:cs="Franklin Gothic Book"/>
        </w:rPr>
        <w:t xml:space="preserve">testing </w:t>
      </w:r>
      <w:r w:rsidRPr="5CD9741F">
        <w:rPr>
          <w:rFonts w:ascii="Franklin Gothic Book" w:eastAsia="Franklin Gothic Book" w:hAnsi="Franklin Gothic Book" w:cs="Franklin Gothic Book"/>
        </w:rPr>
        <w:t>accommodations (2,</w:t>
      </w:r>
      <w:r w:rsidR="008509E6">
        <w:rPr>
          <w:rFonts w:ascii="Franklin Gothic Book" w:eastAsia="Franklin Gothic Book" w:hAnsi="Franklin Gothic Book" w:cs="Franklin Gothic Book"/>
        </w:rPr>
        <w:t>623</w:t>
      </w:r>
      <w:r w:rsidRPr="5CD9741F">
        <w:rPr>
          <w:rFonts w:ascii="Franklin Gothic Book" w:eastAsia="Franklin Gothic Book" w:hAnsi="Franklin Gothic Book" w:cs="Franklin Gothic Book"/>
        </w:rPr>
        <w:t xml:space="preserve"> students) </w:t>
      </w:r>
      <w:r w:rsidRPr="008509E6">
        <w:rPr>
          <w:rFonts w:ascii="Franklin Gothic Book" w:eastAsia="Franklin Gothic Book" w:hAnsi="Franklin Gothic Book" w:cs="Franklin Gothic Book"/>
          <w:b/>
          <w:bCs/>
        </w:rPr>
        <w:t>and</w:t>
      </w:r>
      <w:r w:rsidRPr="5CD9741F">
        <w:rPr>
          <w:rFonts w:ascii="Franklin Gothic Book" w:eastAsia="Franklin Gothic Book" w:hAnsi="Franklin Gothic Book" w:cs="Franklin Gothic Book"/>
        </w:rPr>
        <w:t xml:space="preserve"> proctored exams (</w:t>
      </w:r>
      <w:r w:rsidR="008509E6">
        <w:rPr>
          <w:rFonts w:ascii="Franklin Gothic Book" w:eastAsia="Franklin Gothic Book" w:hAnsi="Franklin Gothic Book" w:cs="Franklin Gothic Book"/>
        </w:rPr>
        <w:t>1,909</w:t>
      </w:r>
      <w:r w:rsidRPr="5CD9741F">
        <w:rPr>
          <w:rFonts w:ascii="Franklin Gothic Book" w:eastAsia="Franklin Gothic Book" w:hAnsi="Franklin Gothic Book" w:cs="Franklin Gothic Book"/>
        </w:rPr>
        <w:t xml:space="preserve"> students). </w:t>
      </w:r>
    </w:p>
    <w:p w14:paraId="67EDFBEC" w14:textId="77777777" w:rsidR="00F62197" w:rsidRPr="000A5F33" w:rsidRDefault="00F62197" w:rsidP="5CD9741F">
      <w:pPr>
        <w:spacing w:after="0"/>
        <w:rPr>
          <w:rFonts w:ascii="Franklin Gothic Book" w:eastAsia="Franklin Gothic Book" w:hAnsi="Franklin Gothic Book" w:cs="Franklin Gothic Book"/>
          <w:b/>
          <w:bCs/>
          <w:i/>
          <w:iCs/>
        </w:rPr>
      </w:pPr>
    </w:p>
    <w:p w14:paraId="1387541B" w14:textId="203A9577" w:rsidR="004C2227" w:rsidRPr="004C2227" w:rsidRDefault="004C2227" w:rsidP="004C2227">
      <w:pPr>
        <w:spacing w:after="0"/>
        <w:rPr>
          <w:noProof/>
        </w:rPr>
      </w:pPr>
      <w:r w:rsidRPr="004C2227">
        <w:rPr>
          <w:noProof/>
        </w:rPr>
        <w:drawing>
          <wp:inline distT="0" distB="0" distL="0" distR="0" wp14:anchorId="3363B79A" wp14:editId="6709F1F4">
            <wp:extent cx="6400800" cy="3216910"/>
            <wp:effectExtent l="0" t="0" r="0" b="2540"/>
            <wp:docPr id="1039061510" name="Picture 10" descr="A graph of different colored rectangular objects. The paragraph that preceds this chart explains its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61510" name="Picture 10" descr="A graph of different colored rectangular objects. The paragraph that preceds this chart explains its cont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216910"/>
                    </a:xfrm>
                    <a:prstGeom prst="rect">
                      <a:avLst/>
                    </a:prstGeom>
                    <a:noFill/>
                    <a:ln>
                      <a:noFill/>
                    </a:ln>
                  </pic:spPr>
                </pic:pic>
              </a:graphicData>
            </a:graphic>
          </wp:inline>
        </w:drawing>
      </w:r>
    </w:p>
    <w:p w14:paraId="04A13478" w14:textId="709DDD8F" w:rsidR="00010504" w:rsidRPr="00010504" w:rsidRDefault="00010504" w:rsidP="00010504">
      <w:pPr>
        <w:spacing w:after="0"/>
        <w:rPr>
          <w:noProof/>
        </w:rPr>
      </w:pPr>
    </w:p>
    <w:p w14:paraId="26B72DCB" w14:textId="16D666F4" w:rsidR="009976D7" w:rsidRPr="009976D7" w:rsidRDefault="009976D7" w:rsidP="009976D7">
      <w:pPr>
        <w:spacing w:after="0"/>
        <w:rPr>
          <w:noProof/>
        </w:rPr>
      </w:pPr>
    </w:p>
    <w:p w14:paraId="4E104C79" w14:textId="0ABD3DF9" w:rsidR="009976D7" w:rsidRPr="009976D7" w:rsidRDefault="009976D7" w:rsidP="009976D7">
      <w:pPr>
        <w:spacing w:after="0"/>
        <w:rPr>
          <w:noProof/>
        </w:rPr>
      </w:pPr>
    </w:p>
    <w:p w14:paraId="30274802" w14:textId="06D8807D" w:rsidR="008A6C44" w:rsidRPr="008A6C44" w:rsidRDefault="008A6C44" w:rsidP="008A6C44">
      <w:pPr>
        <w:spacing w:after="0"/>
        <w:rPr>
          <w:noProof/>
        </w:rPr>
      </w:pPr>
    </w:p>
    <w:p w14:paraId="3C51BA87" w14:textId="17A3ED6F" w:rsidR="003975C2" w:rsidRPr="000A5F33" w:rsidRDefault="003975C2" w:rsidP="5CD9741F">
      <w:pPr>
        <w:spacing w:after="0"/>
      </w:pPr>
    </w:p>
    <w:p w14:paraId="2FE6837F" w14:textId="2C1AED94" w:rsidR="003975C2" w:rsidRPr="000A5F33" w:rsidRDefault="003975C2" w:rsidP="5CD9741F">
      <w:pPr>
        <w:spacing w:after="0"/>
        <w:rPr>
          <w:rFonts w:ascii="Franklin Gothic Book" w:eastAsia="Franklin Gothic Book" w:hAnsi="Franklin Gothic Book" w:cs="Franklin Gothic Book"/>
        </w:rPr>
      </w:pPr>
    </w:p>
    <w:p w14:paraId="2FC63A96" w14:textId="77777777" w:rsidR="00AA19BD" w:rsidRPr="000A5F33" w:rsidRDefault="00AA19BD" w:rsidP="5CD9741F">
      <w:pPr>
        <w:spacing w:after="0"/>
        <w:rPr>
          <w:rFonts w:ascii="Franklin Gothic Book" w:eastAsia="Franklin Gothic Book" w:hAnsi="Franklin Gothic Book" w:cs="Franklin Gothic Book"/>
        </w:rPr>
      </w:pPr>
    </w:p>
    <w:p w14:paraId="4248D2A3" w14:textId="4F89A1D4" w:rsidR="73E26A24" w:rsidRDefault="73E26A24"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br w:type="page"/>
      </w:r>
    </w:p>
    <w:p w14:paraId="72C4A653" w14:textId="5157C477" w:rsidR="002C2E5B" w:rsidRPr="00D9350F" w:rsidRDefault="002C2E5B" w:rsidP="00124CCF">
      <w:pPr>
        <w:pStyle w:val="Heading3"/>
        <w:rPr>
          <w:rFonts w:ascii="Franklin Gothic Book" w:hAnsi="Franklin Gothic Book"/>
          <w:sz w:val="22"/>
          <w:szCs w:val="22"/>
        </w:rPr>
      </w:pPr>
      <w:r w:rsidRPr="00D9350F">
        <w:rPr>
          <w:rFonts w:ascii="Franklin Gothic Book" w:hAnsi="Franklin Gothic Book"/>
          <w:sz w:val="22"/>
          <w:szCs w:val="22"/>
        </w:rPr>
        <w:lastRenderedPageBreak/>
        <w:t>Accommodated Academic Exams Administered by PTS</w:t>
      </w:r>
    </w:p>
    <w:p w14:paraId="56D9BCAE" w14:textId="07140AF1" w:rsidR="00AA19BD" w:rsidRPr="000A5F33" w:rsidRDefault="32B79895"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 xml:space="preserve">The line graph </w:t>
      </w:r>
      <w:r w:rsidR="1F83811E" w:rsidRPr="5CD9741F">
        <w:rPr>
          <w:rFonts w:ascii="Franklin Gothic Book" w:eastAsia="Franklin Gothic Book" w:hAnsi="Franklin Gothic Book" w:cs="Franklin Gothic Book"/>
        </w:rPr>
        <w:t xml:space="preserve">below </w:t>
      </w:r>
      <w:r w:rsidRPr="5CD9741F">
        <w:rPr>
          <w:rFonts w:ascii="Franklin Gothic Book" w:eastAsia="Franklin Gothic Book" w:hAnsi="Franklin Gothic Book" w:cs="Franklin Gothic Book"/>
        </w:rPr>
        <w:t xml:space="preserve">illustrates the number of accommodated academic exams administered by </w:t>
      </w:r>
      <w:r w:rsidR="2EB01BCE" w:rsidRPr="5CD9741F">
        <w:rPr>
          <w:rFonts w:ascii="Franklin Gothic Book" w:eastAsia="Franklin Gothic Book" w:hAnsi="Franklin Gothic Book" w:cs="Franklin Gothic Book"/>
        </w:rPr>
        <w:t xml:space="preserve">PTS </w:t>
      </w:r>
      <w:r w:rsidRPr="5CD9741F">
        <w:rPr>
          <w:rFonts w:ascii="Franklin Gothic Book" w:eastAsia="Franklin Gothic Book" w:hAnsi="Franklin Gothic Book" w:cs="Franklin Gothic Book"/>
        </w:rPr>
        <w:t>across various academic terms</w:t>
      </w:r>
      <w:r w:rsidR="6EEE38D7" w:rsidRPr="5CD9741F">
        <w:rPr>
          <w:rFonts w:ascii="Franklin Gothic Book" w:eastAsia="Franklin Gothic Book" w:hAnsi="Franklin Gothic Book" w:cs="Franklin Gothic Book"/>
        </w:rPr>
        <w:t xml:space="preserve"> from Fall 202</w:t>
      </w:r>
      <w:r w:rsidR="006160FF">
        <w:rPr>
          <w:rFonts w:ascii="Franklin Gothic Book" w:eastAsia="Franklin Gothic Book" w:hAnsi="Franklin Gothic Book" w:cs="Franklin Gothic Book"/>
        </w:rPr>
        <w:t>2</w:t>
      </w:r>
      <w:r w:rsidR="6EEE38D7" w:rsidRPr="5CD9741F">
        <w:rPr>
          <w:rFonts w:ascii="Franklin Gothic Book" w:eastAsia="Franklin Gothic Book" w:hAnsi="Franklin Gothic Book" w:cs="Franklin Gothic Book"/>
        </w:rPr>
        <w:t xml:space="preserve"> to Spring 202</w:t>
      </w:r>
      <w:r w:rsidR="006160FF">
        <w:rPr>
          <w:rFonts w:ascii="Franklin Gothic Book" w:eastAsia="Franklin Gothic Book" w:hAnsi="Franklin Gothic Book" w:cs="Franklin Gothic Book"/>
        </w:rPr>
        <w:t>5</w:t>
      </w:r>
      <w:r w:rsidRPr="5CD9741F">
        <w:rPr>
          <w:rFonts w:ascii="Franklin Gothic Book" w:eastAsia="Franklin Gothic Book" w:hAnsi="Franklin Gothic Book" w:cs="Franklin Gothic Book"/>
        </w:rPr>
        <w:t>, broken down by week. The data shows a consistent increase in exam administration volume as each term progresses, particularly peaking around Week</w:t>
      </w:r>
      <w:r w:rsidR="233058B5" w:rsidRPr="5CD9741F">
        <w:rPr>
          <w:rFonts w:ascii="Franklin Gothic Book" w:eastAsia="Franklin Gothic Book" w:hAnsi="Franklin Gothic Book" w:cs="Franklin Gothic Book"/>
        </w:rPr>
        <w:t>s 9, 13</w:t>
      </w:r>
      <w:r w:rsidRPr="5CD9741F">
        <w:rPr>
          <w:rFonts w:ascii="Franklin Gothic Book" w:eastAsia="Franklin Gothic Book" w:hAnsi="Franklin Gothic Book" w:cs="Franklin Gothic Book"/>
        </w:rPr>
        <w:t xml:space="preserve"> and Finals Week. This reflects the predictable exam schedule of university courses, with the highest demand for accommodat</w:t>
      </w:r>
      <w:r w:rsidR="4253A24D" w:rsidRPr="5CD9741F">
        <w:rPr>
          <w:rFonts w:ascii="Franklin Gothic Book" w:eastAsia="Franklin Gothic Book" w:hAnsi="Franklin Gothic Book" w:cs="Franklin Gothic Book"/>
        </w:rPr>
        <w:t xml:space="preserve">ed academic exams </w:t>
      </w:r>
      <w:r w:rsidRPr="5CD9741F">
        <w:rPr>
          <w:rFonts w:ascii="Franklin Gothic Book" w:eastAsia="Franklin Gothic Book" w:hAnsi="Franklin Gothic Book" w:cs="Franklin Gothic Book"/>
        </w:rPr>
        <w:t xml:space="preserve">occurring during final exams. The trend lines across different terms display a similar pattern, with each semester starting at a low volume of exams administered in the early weeks, followed by a sharp increase leading to a spike during final exam periods. The overall upward trend over the years highlights the </w:t>
      </w:r>
      <w:r w:rsidR="2C9854DF" w:rsidRPr="5CD9741F">
        <w:rPr>
          <w:rFonts w:ascii="Franklin Gothic Book" w:eastAsia="Franklin Gothic Book" w:hAnsi="Franklin Gothic Book" w:cs="Franklin Gothic Book"/>
        </w:rPr>
        <w:t xml:space="preserve">university’s </w:t>
      </w:r>
      <w:r w:rsidRPr="5CD9741F">
        <w:rPr>
          <w:rFonts w:ascii="Franklin Gothic Book" w:eastAsia="Franklin Gothic Book" w:hAnsi="Franklin Gothic Book" w:cs="Franklin Gothic Book"/>
        </w:rPr>
        <w:t xml:space="preserve">growing reliance on PTS </w:t>
      </w:r>
      <w:r w:rsidR="5BCE3ED8" w:rsidRPr="5CD9741F">
        <w:rPr>
          <w:rFonts w:ascii="Franklin Gothic Book" w:eastAsia="Franklin Gothic Book" w:hAnsi="Franklin Gothic Book" w:cs="Franklin Gothic Book"/>
        </w:rPr>
        <w:t>to</w:t>
      </w:r>
      <w:r w:rsidRPr="5CD9741F">
        <w:rPr>
          <w:rFonts w:ascii="Franklin Gothic Book" w:eastAsia="Franklin Gothic Book" w:hAnsi="Franklin Gothic Book" w:cs="Franklin Gothic Book"/>
        </w:rPr>
        <w:t xml:space="preserve"> administer accommodated</w:t>
      </w:r>
      <w:r w:rsidR="71504650" w:rsidRPr="5CD9741F">
        <w:rPr>
          <w:rFonts w:ascii="Franklin Gothic Book" w:eastAsia="Franklin Gothic Book" w:hAnsi="Franklin Gothic Book" w:cs="Franklin Gothic Book"/>
        </w:rPr>
        <w:t xml:space="preserve"> academic</w:t>
      </w:r>
      <w:r w:rsidRPr="5CD9741F">
        <w:rPr>
          <w:rFonts w:ascii="Franklin Gothic Book" w:eastAsia="Franklin Gothic Book" w:hAnsi="Franklin Gothic Book" w:cs="Franklin Gothic Book"/>
        </w:rPr>
        <w:t xml:space="preserve"> exams as student needs continue to expand.</w:t>
      </w:r>
      <w:r>
        <w:br/>
      </w:r>
    </w:p>
    <w:p w14:paraId="02DE2BFD" w14:textId="590AC4F9" w:rsidR="6CE5F540" w:rsidRDefault="6CE5F540" w:rsidP="5CD9741F">
      <w:pPr>
        <w:spacing w:after="0"/>
        <w:rPr>
          <w:rFonts w:ascii="Franklin Gothic Book" w:eastAsia="Franklin Gothic Book" w:hAnsi="Franklin Gothic Book" w:cs="Franklin Gothic Book"/>
        </w:rPr>
      </w:pPr>
    </w:p>
    <w:p w14:paraId="31225F41" w14:textId="2D9464A0" w:rsidR="006160FF" w:rsidRPr="006160FF" w:rsidRDefault="006160FF" w:rsidP="006160FF">
      <w:pPr>
        <w:spacing w:after="0"/>
        <w:rPr>
          <w:rFonts w:ascii="Franklin Gothic Book" w:eastAsia="Franklin Gothic Book" w:hAnsi="Franklin Gothic Book" w:cs="Franklin Gothic Book"/>
        </w:rPr>
      </w:pPr>
      <w:r w:rsidRPr="006160FF">
        <w:rPr>
          <w:rFonts w:ascii="Franklin Gothic Book" w:eastAsia="Franklin Gothic Book" w:hAnsi="Franklin Gothic Book" w:cs="Franklin Gothic Book"/>
          <w:noProof/>
        </w:rPr>
        <w:drawing>
          <wp:inline distT="0" distB="0" distL="0" distR="0" wp14:anchorId="67EE0428" wp14:editId="7395C61A">
            <wp:extent cx="6400800" cy="5437505"/>
            <wp:effectExtent l="0" t="0" r="0" b="0"/>
            <wp:docPr id="1193261833" name="Picture 14" descr="The paragraph that precedes this chart explains its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61833" name="Picture 14" descr="The paragraph that precedes this chart explains its cont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5437505"/>
                    </a:xfrm>
                    <a:prstGeom prst="rect">
                      <a:avLst/>
                    </a:prstGeom>
                    <a:noFill/>
                    <a:ln>
                      <a:noFill/>
                    </a:ln>
                  </pic:spPr>
                </pic:pic>
              </a:graphicData>
            </a:graphic>
          </wp:inline>
        </w:drawing>
      </w:r>
    </w:p>
    <w:p w14:paraId="536B88A7" w14:textId="39619D74" w:rsidR="006160FF" w:rsidRPr="006160FF" w:rsidRDefault="006160FF" w:rsidP="006160FF">
      <w:pPr>
        <w:spacing w:after="0"/>
        <w:rPr>
          <w:rFonts w:ascii="Franklin Gothic Book" w:eastAsia="Franklin Gothic Book" w:hAnsi="Franklin Gothic Book" w:cs="Franklin Gothic Book"/>
        </w:rPr>
      </w:pPr>
    </w:p>
    <w:p w14:paraId="4195F618" w14:textId="77777777" w:rsidR="00AA19BD" w:rsidRPr="000A5F33" w:rsidRDefault="00AA19BD"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br w:type="page"/>
      </w:r>
    </w:p>
    <w:p w14:paraId="5D6AEE74" w14:textId="73F0067E" w:rsidR="002C2E5B" w:rsidRPr="00D9350F" w:rsidRDefault="002C2E5B" w:rsidP="00124CCF">
      <w:pPr>
        <w:pStyle w:val="Heading3"/>
        <w:rPr>
          <w:rFonts w:ascii="Franklin Gothic Book" w:hAnsi="Franklin Gothic Book"/>
          <w:sz w:val="22"/>
          <w:szCs w:val="22"/>
        </w:rPr>
      </w:pPr>
      <w:r w:rsidRPr="00D9350F">
        <w:rPr>
          <w:rFonts w:ascii="Franklin Gothic Book" w:hAnsi="Franklin Gothic Book"/>
          <w:sz w:val="22"/>
          <w:szCs w:val="22"/>
        </w:rPr>
        <w:lastRenderedPageBreak/>
        <w:t xml:space="preserve">Individual Exams Printed vs. Individual Exams </w:t>
      </w:r>
      <w:r w:rsidR="006C6C72" w:rsidRPr="00D9350F">
        <w:rPr>
          <w:rFonts w:ascii="Franklin Gothic Book" w:hAnsi="Franklin Gothic Book"/>
          <w:sz w:val="22"/>
          <w:szCs w:val="22"/>
        </w:rPr>
        <w:t>Administered</w:t>
      </w:r>
    </w:p>
    <w:p w14:paraId="7567B0A5" w14:textId="61CC63C9" w:rsidR="00AA19BD" w:rsidRPr="000A5F33" w:rsidRDefault="4171C23A" w:rsidP="5CD9741F">
      <w:pPr>
        <w:spacing w:after="0"/>
        <w:rPr>
          <w:rFonts w:ascii="Franklin Gothic Book" w:eastAsia="Franklin Gothic Book" w:hAnsi="Franklin Gothic Book" w:cs="Franklin Gothic Book"/>
        </w:rPr>
      </w:pPr>
      <w:r w:rsidRPr="5CD9741F">
        <w:rPr>
          <w:rFonts w:ascii="Franklin Gothic Book" w:eastAsia="Franklin Gothic Book" w:hAnsi="Franklin Gothic Book" w:cs="Franklin Gothic Book"/>
        </w:rPr>
        <w:t>Th</w:t>
      </w:r>
      <w:r w:rsidR="4CDF8E6F" w:rsidRPr="5CD9741F">
        <w:rPr>
          <w:rFonts w:ascii="Franklin Gothic Book" w:eastAsia="Franklin Gothic Book" w:hAnsi="Franklin Gothic Book" w:cs="Franklin Gothic Book"/>
        </w:rPr>
        <w:t>e</w:t>
      </w:r>
      <w:r w:rsidRPr="5CD9741F">
        <w:rPr>
          <w:rFonts w:ascii="Franklin Gothic Book" w:eastAsia="Franklin Gothic Book" w:hAnsi="Franklin Gothic Book" w:cs="Franklin Gothic Book"/>
        </w:rPr>
        <w:t xml:space="preserve"> bar graph</w:t>
      </w:r>
      <w:r w:rsidR="4DB21DC0" w:rsidRPr="5CD9741F">
        <w:rPr>
          <w:rFonts w:ascii="Franklin Gothic Book" w:eastAsia="Franklin Gothic Book" w:hAnsi="Franklin Gothic Book" w:cs="Franklin Gothic Book"/>
        </w:rPr>
        <w:t xml:space="preserve"> below</w:t>
      </w:r>
      <w:r w:rsidRPr="5CD9741F">
        <w:rPr>
          <w:rFonts w:ascii="Franklin Gothic Book" w:eastAsia="Franklin Gothic Book" w:hAnsi="Franklin Gothic Book" w:cs="Franklin Gothic Book"/>
        </w:rPr>
        <w:t xml:space="preserve"> compares the total number of individual exams printed versus individual exams </w:t>
      </w:r>
      <w:r w:rsidR="006C6C72" w:rsidRPr="5CD9741F">
        <w:rPr>
          <w:rFonts w:ascii="Franklin Gothic Book" w:eastAsia="Franklin Gothic Book" w:hAnsi="Franklin Gothic Book" w:cs="Franklin Gothic Book"/>
        </w:rPr>
        <w:t>administered</w:t>
      </w:r>
      <w:r w:rsidRPr="5CD9741F">
        <w:rPr>
          <w:rFonts w:ascii="Franklin Gothic Book" w:eastAsia="Franklin Gothic Book" w:hAnsi="Franklin Gothic Book" w:cs="Franklin Gothic Book"/>
        </w:rPr>
        <w:t xml:space="preserve"> by </w:t>
      </w:r>
      <w:r w:rsidR="002C2E5B" w:rsidRPr="5CD9741F">
        <w:rPr>
          <w:rFonts w:ascii="Franklin Gothic Book" w:eastAsia="Franklin Gothic Book" w:hAnsi="Franklin Gothic Book" w:cs="Franklin Gothic Book"/>
        </w:rPr>
        <w:t xml:space="preserve">PTS </w:t>
      </w:r>
      <w:r w:rsidRPr="5CD9741F">
        <w:rPr>
          <w:rFonts w:ascii="Franklin Gothic Book" w:eastAsia="Franklin Gothic Book" w:hAnsi="Franklin Gothic Book" w:cs="Franklin Gothic Book"/>
        </w:rPr>
        <w:t>from Fall 202</w:t>
      </w:r>
      <w:r w:rsidR="00F30B4C">
        <w:rPr>
          <w:rFonts w:ascii="Franklin Gothic Book" w:eastAsia="Franklin Gothic Book" w:hAnsi="Franklin Gothic Book" w:cs="Franklin Gothic Book"/>
        </w:rPr>
        <w:t>2</w:t>
      </w:r>
      <w:r w:rsidRPr="5CD9741F">
        <w:rPr>
          <w:rFonts w:ascii="Franklin Gothic Book" w:eastAsia="Franklin Gothic Book" w:hAnsi="Franklin Gothic Book" w:cs="Franklin Gothic Book"/>
        </w:rPr>
        <w:t xml:space="preserve"> to Spring 202</w:t>
      </w:r>
      <w:r w:rsidR="00F30B4C">
        <w:rPr>
          <w:rFonts w:ascii="Franklin Gothic Book" w:eastAsia="Franklin Gothic Book" w:hAnsi="Franklin Gothic Book" w:cs="Franklin Gothic Book"/>
        </w:rPr>
        <w:t>5</w:t>
      </w:r>
      <w:r w:rsidRPr="5CD9741F">
        <w:rPr>
          <w:rFonts w:ascii="Franklin Gothic Book" w:eastAsia="Franklin Gothic Book" w:hAnsi="Franklin Gothic Book" w:cs="Franklin Gothic Book"/>
        </w:rPr>
        <w:t xml:space="preserve">. The data presented does not represent unique </w:t>
      </w:r>
      <w:r w:rsidR="7E1F5195" w:rsidRPr="5CD9741F">
        <w:rPr>
          <w:rFonts w:ascii="Franklin Gothic Book" w:eastAsia="Franklin Gothic Book" w:hAnsi="Franklin Gothic Book" w:cs="Franklin Gothic Book"/>
        </w:rPr>
        <w:t xml:space="preserve">exams, </w:t>
      </w:r>
      <w:r w:rsidRPr="5CD9741F">
        <w:rPr>
          <w:rFonts w:ascii="Franklin Gothic Book" w:eastAsia="Franklin Gothic Book" w:hAnsi="Franklin Gothic Book" w:cs="Franklin Gothic Book"/>
        </w:rPr>
        <w:t xml:space="preserve">but the total number of exams processed for students across each term. </w:t>
      </w:r>
      <w:r w:rsidR="64A0D64B" w:rsidRPr="5CD9741F">
        <w:rPr>
          <w:rFonts w:ascii="Franklin Gothic Book" w:eastAsia="Franklin Gothic Book" w:hAnsi="Franklin Gothic Book" w:cs="Franklin Gothic Book"/>
        </w:rPr>
        <w:t xml:space="preserve">It </w:t>
      </w:r>
      <w:r w:rsidRPr="5CD9741F">
        <w:rPr>
          <w:rFonts w:ascii="Franklin Gothic Book" w:eastAsia="Franklin Gothic Book" w:hAnsi="Franklin Gothic Book" w:cs="Franklin Gothic Book"/>
        </w:rPr>
        <w:t xml:space="preserve">demonstrates a steady increase in both printed and </w:t>
      </w:r>
      <w:r w:rsidR="006C6C72" w:rsidRPr="5CD9741F">
        <w:rPr>
          <w:rFonts w:ascii="Franklin Gothic Book" w:eastAsia="Franklin Gothic Book" w:hAnsi="Franklin Gothic Book" w:cs="Franklin Gothic Book"/>
        </w:rPr>
        <w:t>administered</w:t>
      </w:r>
      <w:r w:rsidRPr="5CD9741F">
        <w:rPr>
          <w:rFonts w:ascii="Franklin Gothic Book" w:eastAsia="Franklin Gothic Book" w:hAnsi="Franklin Gothic Book" w:cs="Franklin Gothic Book"/>
        </w:rPr>
        <w:t xml:space="preserve"> exams over time, with Fall 202</w:t>
      </w:r>
      <w:r w:rsidR="00490B96">
        <w:rPr>
          <w:rFonts w:ascii="Franklin Gothic Book" w:eastAsia="Franklin Gothic Book" w:hAnsi="Franklin Gothic Book" w:cs="Franklin Gothic Book"/>
        </w:rPr>
        <w:t xml:space="preserve">4 </w:t>
      </w:r>
      <w:r w:rsidRPr="5CD9741F">
        <w:rPr>
          <w:rFonts w:ascii="Franklin Gothic Book" w:eastAsia="Franklin Gothic Book" w:hAnsi="Franklin Gothic Book" w:cs="Franklin Gothic Book"/>
        </w:rPr>
        <w:t>and Spring 202</w:t>
      </w:r>
      <w:r w:rsidR="00490B96">
        <w:rPr>
          <w:rFonts w:ascii="Franklin Gothic Book" w:eastAsia="Franklin Gothic Book" w:hAnsi="Franklin Gothic Book" w:cs="Franklin Gothic Book"/>
        </w:rPr>
        <w:t>5</w:t>
      </w:r>
      <w:r w:rsidRPr="5CD9741F">
        <w:rPr>
          <w:rFonts w:ascii="Franklin Gothic Book" w:eastAsia="Franklin Gothic Book" w:hAnsi="Franklin Gothic Book" w:cs="Franklin Gothic Book"/>
        </w:rPr>
        <w:t xml:space="preserve"> showing the highest volumes</w:t>
      </w:r>
      <w:r w:rsidR="02B5204F" w:rsidRPr="5CD9741F">
        <w:rPr>
          <w:rFonts w:ascii="Franklin Gothic Book" w:eastAsia="Franklin Gothic Book" w:hAnsi="Franklin Gothic Book" w:cs="Franklin Gothic Book"/>
        </w:rPr>
        <w:t xml:space="preserve"> </w:t>
      </w:r>
      <w:r w:rsidR="02B5204F" w:rsidRPr="5CD9741F">
        <w:rPr>
          <w:rFonts w:ascii="Arial" w:eastAsia="Arial" w:hAnsi="Arial" w:cs="Arial"/>
          <w:color w:val="000000" w:themeColor="text1"/>
        </w:rPr>
        <w:t>—</w:t>
      </w:r>
      <w:r w:rsidR="02B5204F" w:rsidRPr="5CD9741F">
        <w:rPr>
          <w:rFonts w:ascii="Franklin Gothic Book" w:eastAsia="Franklin Gothic Book" w:hAnsi="Franklin Gothic Book" w:cs="Franklin Gothic Book"/>
        </w:rPr>
        <w:t xml:space="preserve"> </w:t>
      </w:r>
      <w:r w:rsidRPr="5CD9741F">
        <w:rPr>
          <w:rFonts w:ascii="Franklin Gothic Book" w:eastAsia="Franklin Gothic Book" w:hAnsi="Franklin Gothic Book" w:cs="Franklin Gothic Book"/>
        </w:rPr>
        <w:t xml:space="preserve">highlighting a significant demand for </w:t>
      </w:r>
      <w:r w:rsidR="0050457F" w:rsidRPr="5CD9741F">
        <w:rPr>
          <w:rFonts w:ascii="Franklin Gothic Book" w:eastAsia="Franklin Gothic Book" w:hAnsi="Franklin Gothic Book" w:cs="Franklin Gothic Book"/>
        </w:rPr>
        <w:t>printing services within PTS</w:t>
      </w:r>
      <w:r w:rsidRPr="5CD9741F">
        <w:rPr>
          <w:rFonts w:ascii="Franklin Gothic Book" w:eastAsia="Franklin Gothic Book" w:hAnsi="Franklin Gothic Book" w:cs="Franklin Gothic Book"/>
        </w:rPr>
        <w:t xml:space="preserve">. </w:t>
      </w:r>
    </w:p>
    <w:p w14:paraId="3B7C9B14" w14:textId="487FA782" w:rsidR="5CD9741F" w:rsidRDefault="5CD9741F" w:rsidP="5CD9741F">
      <w:pPr>
        <w:spacing w:after="0"/>
        <w:rPr>
          <w:rFonts w:ascii="Franklin Gothic Book" w:eastAsia="Franklin Gothic Book" w:hAnsi="Franklin Gothic Book" w:cs="Franklin Gothic Book"/>
        </w:rPr>
      </w:pPr>
    </w:p>
    <w:p w14:paraId="64073F2D" w14:textId="09E539B6" w:rsidR="00EC1100" w:rsidRPr="00EC1100" w:rsidRDefault="00EC1100" w:rsidP="00EC1100">
      <w:pPr>
        <w:spacing w:after="0"/>
        <w:rPr>
          <w:rFonts w:ascii="Franklin Gothic Book" w:eastAsia="Franklin Gothic Book" w:hAnsi="Franklin Gothic Book" w:cs="Franklin Gothic Book"/>
        </w:rPr>
      </w:pPr>
      <w:r w:rsidRPr="00EC1100">
        <w:rPr>
          <w:rFonts w:ascii="Franklin Gothic Book" w:eastAsia="Franklin Gothic Book" w:hAnsi="Franklin Gothic Book" w:cs="Franklin Gothic Book"/>
          <w:noProof/>
        </w:rPr>
        <w:drawing>
          <wp:inline distT="0" distB="0" distL="0" distR="0" wp14:anchorId="775070E0" wp14:editId="3CAA703C">
            <wp:extent cx="6400800" cy="2510155"/>
            <wp:effectExtent l="0" t="0" r="0" b="4445"/>
            <wp:docPr id="718299594" name="Picture 16" descr="A graph showing different types of exam results. The paragraph that precedes this chart explains its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99594" name="Picture 16" descr="A graph showing different types of exam results. The paragraph that precedes this chart explains its cont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2510155"/>
                    </a:xfrm>
                    <a:prstGeom prst="rect">
                      <a:avLst/>
                    </a:prstGeom>
                    <a:noFill/>
                    <a:ln>
                      <a:noFill/>
                    </a:ln>
                  </pic:spPr>
                </pic:pic>
              </a:graphicData>
            </a:graphic>
          </wp:inline>
        </w:drawing>
      </w:r>
    </w:p>
    <w:p w14:paraId="12E0FB37" w14:textId="533A4F6E" w:rsidR="00AA19BD" w:rsidRDefault="00AA19BD" w:rsidP="5CD9741F">
      <w:pPr>
        <w:spacing w:after="0"/>
        <w:rPr>
          <w:rFonts w:ascii="Franklin Gothic Book" w:eastAsia="Franklin Gothic Book" w:hAnsi="Franklin Gothic Book" w:cs="Franklin Gothic Book"/>
        </w:rPr>
      </w:pPr>
    </w:p>
    <w:p w14:paraId="3DCDF9CF" w14:textId="06DFF190" w:rsidR="002179E8" w:rsidRPr="00D9350F" w:rsidRDefault="002179E8" w:rsidP="00124CCF">
      <w:pPr>
        <w:pStyle w:val="Heading3"/>
        <w:rPr>
          <w:rFonts w:ascii="Franklin Gothic Book" w:eastAsia="Franklin Gothic Book" w:hAnsi="Franklin Gothic Book" w:cs="Franklin Gothic Book"/>
          <w:sz w:val="22"/>
          <w:szCs w:val="22"/>
        </w:rPr>
      </w:pPr>
      <w:r w:rsidRPr="00D9350F">
        <w:rPr>
          <w:rFonts w:ascii="Franklin Gothic Book" w:eastAsia="Franklin Gothic Book" w:hAnsi="Franklin Gothic Book" w:cs="Franklin Gothic Book"/>
          <w:sz w:val="22"/>
          <w:szCs w:val="22"/>
        </w:rPr>
        <w:t xml:space="preserve">Unique </w:t>
      </w:r>
      <w:r w:rsidRPr="00D9350F">
        <w:rPr>
          <w:rFonts w:ascii="Franklin Gothic Book" w:hAnsi="Franklin Gothic Book"/>
          <w:sz w:val="22"/>
          <w:szCs w:val="22"/>
        </w:rPr>
        <w:t>Courses</w:t>
      </w:r>
      <w:r w:rsidRPr="00D9350F">
        <w:rPr>
          <w:rFonts w:ascii="Franklin Gothic Book" w:eastAsia="Franklin Gothic Book" w:hAnsi="Franklin Gothic Book" w:cs="Franklin Gothic Book"/>
          <w:sz w:val="22"/>
          <w:szCs w:val="22"/>
        </w:rPr>
        <w:t xml:space="preserve"> and Instructors </w:t>
      </w:r>
      <w:r w:rsidR="00FA36EF" w:rsidRPr="00D9350F">
        <w:rPr>
          <w:rFonts w:ascii="Franklin Gothic Book" w:eastAsia="Franklin Gothic Book" w:hAnsi="Franklin Gothic Book" w:cs="Franklin Gothic Book"/>
          <w:sz w:val="22"/>
          <w:szCs w:val="22"/>
        </w:rPr>
        <w:t xml:space="preserve">Utilizing PTS </w:t>
      </w:r>
    </w:p>
    <w:p w14:paraId="5E806B8B" w14:textId="77777777" w:rsidR="00C45B99" w:rsidRDefault="00C45B99" w:rsidP="00C45B99">
      <w:pPr>
        <w:spacing w:after="0"/>
        <w:rPr>
          <w:rFonts w:ascii="Franklin Gothic Book" w:eastAsia="Franklin Gothic Book" w:hAnsi="Franklin Gothic Book" w:cs="Franklin Gothic Book"/>
        </w:rPr>
      </w:pPr>
      <w:r w:rsidRPr="00C45B99">
        <w:rPr>
          <w:rFonts w:ascii="Franklin Gothic Book" w:eastAsia="Franklin Gothic Book" w:hAnsi="Franklin Gothic Book" w:cs="Franklin Gothic Book"/>
        </w:rPr>
        <w:t>The bar graph below illustrates the number of unique courses and instructors utilizing Purdue Testing Services (PTS) for exam administration from Fall 2023 through Spring 2025. The data shows a steady increase in both categories, with the number of courses growing from 493 to 531 and instructors from 517 to 554.</w:t>
      </w:r>
    </w:p>
    <w:p w14:paraId="16B93D42" w14:textId="77777777" w:rsidR="00FA36EF" w:rsidRPr="00C45B99" w:rsidRDefault="00FA36EF" w:rsidP="00C45B99">
      <w:pPr>
        <w:spacing w:after="0"/>
        <w:rPr>
          <w:rFonts w:ascii="Franklin Gothic Book" w:eastAsia="Franklin Gothic Book" w:hAnsi="Franklin Gothic Book" w:cs="Franklin Gothic Book"/>
        </w:rPr>
      </w:pPr>
    </w:p>
    <w:p w14:paraId="7FAA96C6" w14:textId="2F4E40F6" w:rsidR="00C45B99" w:rsidRDefault="00C45B99" w:rsidP="00C45B99">
      <w:pPr>
        <w:spacing w:after="0"/>
        <w:rPr>
          <w:rFonts w:ascii="Franklin Gothic Book" w:eastAsia="Franklin Gothic Book" w:hAnsi="Franklin Gothic Book" w:cs="Franklin Gothic Book"/>
        </w:rPr>
      </w:pPr>
      <w:r w:rsidRPr="00C45B99">
        <w:rPr>
          <w:rFonts w:ascii="Franklin Gothic Book" w:eastAsia="Franklin Gothic Book" w:hAnsi="Franklin Gothic Book" w:cs="Franklin Gothic Book"/>
        </w:rPr>
        <w:t xml:space="preserve">For reporting purposes, a </w:t>
      </w:r>
      <w:r w:rsidRPr="00C45B99">
        <w:rPr>
          <w:rFonts w:ascii="Franklin Gothic Book" w:eastAsia="Franklin Gothic Book" w:hAnsi="Franklin Gothic Book" w:cs="Franklin Gothic Book"/>
          <w:i/>
          <w:iCs/>
        </w:rPr>
        <w:t>unique course</w:t>
      </w:r>
      <w:r w:rsidRPr="00C45B99">
        <w:rPr>
          <w:rFonts w:ascii="Franklin Gothic Book" w:eastAsia="Franklin Gothic Book" w:hAnsi="Franklin Gothic Book" w:cs="Franklin Gothic Book"/>
        </w:rPr>
        <w:t xml:space="preserve"> is defined as an individual course, which may have multiple sections or instructors associated with it. </w:t>
      </w:r>
      <w:r w:rsidRPr="00C45B99">
        <w:rPr>
          <w:rFonts w:ascii="Franklin Gothic Book" w:eastAsia="Franklin Gothic Book" w:hAnsi="Franklin Gothic Book" w:cs="Franklin Gothic Book"/>
          <w:i/>
          <w:iCs/>
        </w:rPr>
        <w:t>Instructors</w:t>
      </w:r>
      <w:r w:rsidRPr="00C45B99">
        <w:rPr>
          <w:rFonts w:ascii="Franklin Gothic Book" w:eastAsia="Franklin Gothic Book" w:hAnsi="Franklin Gothic Book" w:cs="Franklin Gothic Book"/>
        </w:rPr>
        <w:t xml:space="preserve"> are defined as individual</w:t>
      </w:r>
      <w:r w:rsidR="00FA36EF">
        <w:rPr>
          <w:rFonts w:ascii="Franklin Gothic Book" w:eastAsia="Franklin Gothic Book" w:hAnsi="Franklin Gothic Book" w:cs="Franklin Gothic Book"/>
        </w:rPr>
        <w:t xml:space="preserve">s </w:t>
      </w:r>
      <w:r w:rsidRPr="00C45B99">
        <w:rPr>
          <w:rFonts w:ascii="Franklin Gothic Book" w:eastAsia="Franklin Gothic Book" w:hAnsi="Franklin Gothic Book" w:cs="Franklin Gothic Book"/>
        </w:rPr>
        <w:t xml:space="preserve">who </w:t>
      </w:r>
      <w:r w:rsidR="00FA36EF">
        <w:rPr>
          <w:rFonts w:ascii="Franklin Gothic Book" w:eastAsia="Franklin Gothic Book" w:hAnsi="Franklin Gothic Book" w:cs="Franklin Gothic Book"/>
        </w:rPr>
        <w:t xml:space="preserve">submit the TIFs which </w:t>
      </w:r>
      <w:r w:rsidRPr="00C45B99">
        <w:rPr>
          <w:rFonts w:ascii="Franklin Gothic Book" w:eastAsia="Franklin Gothic Book" w:hAnsi="Franklin Gothic Book" w:cs="Franklin Gothic Book"/>
        </w:rPr>
        <w:t>may teach one or more courses in a given term</w:t>
      </w:r>
      <w:r w:rsidR="00FA36EF">
        <w:rPr>
          <w:rFonts w:ascii="Franklin Gothic Book" w:eastAsia="Franklin Gothic Book" w:hAnsi="Franklin Gothic Book" w:cs="Franklin Gothic Book"/>
        </w:rPr>
        <w:t xml:space="preserve"> and/or be a course coordinator submitting on behalf of the actual instructor.</w:t>
      </w:r>
    </w:p>
    <w:p w14:paraId="520D6EE7" w14:textId="61408A3F" w:rsidR="00D35DF8" w:rsidRDefault="00A60113" w:rsidP="5CD9741F">
      <w:pPr>
        <w:spacing w:after="0"/>
        <w:rPr>
          <w:rFonts w:ascii="Franklin Gothic Book" w:eastAsia="Franklin Gothic Book" w:hAnsi="Franklin Gothic Book" w:cs="Franklin Gothic Book"/>
          <w:i/>
          <w:iCs/>
          <w:color w:val="000000" w:themeColor="text1"/>
          <w:sz w:val="24"/>
          <w:szCs w:val="24"/>
        </w:rPr>
      </w:pPr>
      <w:r>
        <w:rPr>
          <w:noProof/>
        </w:rPr>
        <w:drawing>
          <wp:inline distT="0" distB="0" distL="0" distR="0" wp14:anchorId="04047413" wp14:editId="37C23B67">
            <wp:extent cx="5113325" cy="2370125"/>
            <wp:effectExtent l="0" t="0" r="11430" b="11430"/>
            <wp:docPr id="909089332" name="Chart 1" descr="This is a bar graph. The paragraph that precedes this chart explains its content.">
              <a:extLst xmlns:a="http://schemas.openxmlformats.org/drawingml/2006/main">
                <a:ext uri="{FF2B5EF4-FFF2-40B4-BE49-F238E27FC236}">
                  <a16:creationId xmlns:a16="http://schemas.microsoft.com/office/drawing/2014/main" id="{6BFA95A0-5ABA-284C-BD43-F7DEF57908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35DF8" w:rsidRPr="5CD9741F">
        <w:rPr>
          <w:rFonts w:ascii="Franklin Gothic Book" w:eastAsia="Franklin Gothic Book" w:hAnsi="Franklin Gothic Book" w:cs="Franklin Gothic Book"/>
        </w:rPr>
        <w:br w:type="page"/>
      </w:r>
    </w:p>
    <w:p w14:paraId="7FD6750D" w14:textId="043A77AA" w:rsidR="0050457F" w:rsidRPr="00D9350F" w:rsidRDefault="00D35DF8" w:rsidP="00124CCF">
      <w:pPr>
        <w:pStyle w:val="Heading3"/>
        <w:rPr>
          <w:rFonts w:ascii="Franklin Gothic Book" w:eastAsia="Franklin Gothic Book" w:hAnsi="Franklin Gothic Book" w:cs="Franklin Gothic Book"/>
          <w:sz w:val="22"/>
          <w:szCs w:val="22"/>
        </w:rPr>
      </w:pPr>
      <w:r w:rsidRPr="00D9350F">
        <w:rPr>
          <w:rFonts w:ascii="Franklin Gothic Book" w:eastAsia="Franklin Gothic Book" w:hAnsi="Franklin Gothic Book" w:cs="Franklin Gothic Book"/>
          <w:sz w:val="22"/>
          <w:szCs w:val="22"/>
        </w:rPr>
        <w:lastRenderedPageBreak/>
        <w:t xml:space="preserve">Total </w:t>
      </w:r>
      <w:r w:rsidRPr="00D9350F">
        <w:rPr>
          <w:rFonts w:ascii="Franklin Gothic Book" w:hAnsi="Franklin Gothic Book"/>
          <w:sz w:val="22"/>
          <w:szCs w:val="22"/>
        </w:rPr>
        <w:t>Accommodated</w:t>
      </w:r>
      <w:r w:rsidRPr="00D9350F">
        <w:rPr>
          <w:rFonts w:ascii="Franklin Gothic Book" w:eastAsia="Franklin Gothic Book" w:hAnsi="Franklin Gothic Book" w:cs="Franklin Gothic Book"/>
          <w:sz w:val="22"/>
          <w:szCs w:val="22"/>
        </w:rPr>
        <w:t xml:space="preserve"> Exams Administered</w:t>
      </w:r>
    </w:p>
    <w:p w14:paraId="578D0A2B" w14:textId="38DDBED7" w:rsidR="5CD9741F" w:rsidRDefault="00A90361" w:rsidP="5CD9741F">
      <w:pPr>
        <w:spacing w:after="0"/>
        <w:rPr>
          <w:rFonts w:ascii="Franklin Gothic Book" w:eastAsia="Franklin Gothic Book" w:hAnsi="Franklin Gothic Book" w:cs="Franklin Gothic Book"/>
        </w:rPr>
      </w:pPr>
      <w:r w:rsidRPr="00A90361">
        <w:rPr>
          <w:rFonts w:ascii="Franklin Gothic Book" w:eastAsia="Franklin Gothic Book" w:hAnsi="Franklin Gothic Book" w:cs="Franklin Gothic Book"/>
        </w:rPr>
        <w:t xml:space="preserve">The line graph below shows the total number of accommodated exams proctored by Purdue Testing Services (PTS) from the 2018–19 academic year through 2024–25. A significant decline is visible in 2020–21, when the number of accommodated exams dropped to 2,272 due to the COVID-19 pandemic and the campus-wide shift to remote instruction. Since then, the number of accommodated exams has rebounded steadily each year, reflecting both the return to in-person learning and increased utilization of PTS services. Most notably, the number of accommodated exams reached a record high of 20,293 in 2024–25 — more than eight times the total during the pandemic year. This sustained upward trend underscores the growing demand for accommodated testing on campus and highlights the essential role PTS plays in supporting instructors </w:t>
      </w:r>
      <w:r w:rsidR="00490B96">
        <w:rPr>
          <w:rFonts w:ascii="Franklin Gothic Book" w:eastAsia="Franklin Gothic Book" w:hAnsi="Franklin Gothic Book" w:cs="Franklin Gothic Book"/>
        </w:rPr>
        <w:t>in administering their exams for students with accommodations.</w:t>
      </w:r>
    </w:p>
    <w:p w14:paraId="47868667" w14:textId="77777777" w:rsidR="00490B96" w:rsidRPr="00A90361" w:rsidRDefault="00490B96" w:rsidP="5CD9741F">
      <w:pPr>
        <w:spacing w:after="0"/>
        <w:rPr>
          <w:rFonts w:ascii="Franklin Gothic Book" w:eastAsia="Franklin Gothic Book" w:hAnsi="Franklin Gothic Book" w:cs="Franklin Gothic Book"/>
        </w:rPr>
      </w:pPr>
    </w:p>
    <w:p w14:paraId="3D062BBF" w14:textId="2B5564FD" w:rsidR="00E44302" w:rsidRPr="00E44302" w:rsidRDefault="00E44302" w:rsidP="00E44302">
      <w:pPr>
        <w:spacing w:after="0"/>
        <w:rPr>
          <w:rFonts w:ascii="Franklin Gothic Book" w:eastAsia="Franklin Gothic Book" w:hAnsi="Franklin Gothic Book" w:cs="Franklin Gothic Book"/>
        </w:rPr>
      </w:pPr>
      <w:r w:rsidRPr="00E44302">
        <w:rPr>
          <w:rFonts w:ascii="Franklin Gothic Book" w:eastAsia="Franklin Gothic Book" w:hAnsi="Franklin Gothic Book" w:cs="Franklin Gothic Book"/>
          <w:noProof/>
        </w:rPr>
        <w:drawing>
          <wp:inline distT="0" distB="0" distL="0" distR="0" wp14:anchorId="6D5A51EF" wp14:editId="4BC0ACE1">
            <wp:extent cx="6400800" cy="2679065"/>
            <wp:effectExtent l="0" t="0" r="0" b="6985"/>
            <wp:docPr id="1723123829" name="Picture 26" descr="This is a line graph. The paragraph that precedes this chart explains its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23829" name="Picture 26" descr="This is a line graph. The paragraph that precedes this chart explains its cont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2679065"/>
                    </a:xfrm>
                    <a:prstGeom prst="rect">
                      <a:avLst/>
                    </a:prstGeom>
                    <a:noFill/>
                    <a:ln>
                      <a:noFill/>
                    </a:ln>
                  </pic:spPr>
                </pic:pic>
              </a:graphicData>
            </a:graphic>
          </wp:inline>
        </w:drawing>
      </w:r>
    </w:p>
    <w:p w14:paraId="2360A315" w14:textId="1399D31B" w:rsidR="004D57E2" w:rsidRPr="004D57E2" w:rsidRDefault="004D57E2" w:rsidP="004D57E2">
      <w:pPr>
        <w:spacing w:after="0"/>
        <w:rPr>
          <w:rFonts w:ascii="Franklin Gothic Book" w:eastAsia="Franklin Gothic Book" w:hAnsi="Franklin Gothic Book" w:cs="Franklin Gothic Book"/>
        </w:rPr>
      </w:pPr>
    </w:p>
    <w:p w14:paraId="672CDDF1" w14:textId="0A9903B0" w:rsidR="00645AE7" w:rsidRPr="00D9350F" w:rsidRDefault="00D27A7C" w:rsidP="00124CCF">
      <w:pPr>
        <w:pStyle w:val="Heading3"/>
        <w:rPr>
          <w:rFonts w:ascii="Franklin Gothic Book" w:eastAsia="Franklin Gothic Book" w:hAnsi="Franklin Gothic Book" w:cs="Franklin Gothic Book"/>
          <w:i w:val="0"/>
          <w:iCs w:val="0"/>
          <w:sz w:val="22"/>
          <w:szCs w:val="22"/>
        </w:rPr>
      </w:pPr>
      <w:r w:rsidRPr="00D9350F">
        <w:rPr>
          <w:rFonts w:ascii="Franklin Gothic Book" w:eastAsia="Franklin Gothic Book" w:hAnsi="Franklin Gothic Book" w:cs="Franklin Gothic Book"/>
          <w:sz w:val="22"/>
          <w:szCs w:val="22"/>
        </w:rPr>
        <w:t xml:space="preserve">PTS </w:t>
      </w:r>
      <w:r w:rsidRPr="00D9350F">
        <w:rPr>
          <w:rFonts w:ascii="Franklin Gothic Book" w:hAnsi="Franklin Gothic Book"/>
          <w:sz w:val="22"/>
          <w:szCs w:val="22"/>
        </w:rPr>
        <w:t>relocated</w:t>
      </w:r>
      <w:r w:rsidRPr="00D9350F">
        <w:rPr>
          <w:rFonts w:ascii="Franklin Gothic Book" w:eastAsia="Franklin Gothic Book" w:hAnsi="Franklin Gothic Book" w:cs="Franklin Gothic Book"/>
          <w:sz w:val="22"/>
          <w:szCs w:val="22"/>
        </w:rPr>
        <w:t xml:space="preserve"> to expanded testing facilities in Stewart Center G59 beginning in Fall 2020 and G39 in May 2023 which increased seating capacity and contributed to subsequent growth in accommodated exam volume.</w:t>
      </w:r>
    </w:p>
    <w:p w14:paraId="4830935D" w14:textId="5A5333A2" w:rsidR="00645AE7" w:rsidRPr="00645AE7" w:rsidRDefault="00645AE7" w:rsidP="00645AE7">
      <w:pPr>
        <w:spacing w:after="0"/>
        <w:rPr>
          <w:rFonts w:ascii="Franklin Gothic Book" w:eastAsia="Franklin Gothic Book" w:hAnsi="Franklin Gothic Book" w:cs="Franklin Gothic Book"/>
        </w:rPr>
      </w:pPr>
    </w:p>
    <w:p w14:paraId="2FE7912E" w14:textId="14484F76" w:rsidR="008B310D" w:rsidRPr="008B310D" w:rsidRDefault="008B310D" w:rsidP="008B310D">
      <w:pPr>
        <w:spacing w:after="0"/>
        <w:rPr>
          <w:rFonts w:ascii="Franklin Gothic Book" w:eastAsia="Franklin Gothic Book" w:hAnsi="Franklin Gothic Book" w:cs="Franklin Gothic Book"/>
        </w:rPr>
      </w:pPr>
    </w:p>
    <w:p w14:paraId="52B788D3" w14:textId="067FD973" w:rsidR="00207DCC" w:rsidRPr="000A5F33" w:rsidRDefault="00207DCC" w:rsidP="5CD9741F">
      <w:pPr>
        <w:spacing w:after="0"/>
        <w:rPr>
          <w:rFonts w:ascii="Franklin Gothic Book" w:eastAsia="Franklin Gothic Book" w:hAnsi="Franklin Gothic Book" w:cs="Franklin Gothic Book"/>
        </w:rPr>
      </w:pPr>
    </w:p>
    <w:p w14:paraId="421B724A" w14:textId="4917B1FD" w:rsidR="00207DCC" w:rsidRPr="000A5F33" w:rsidRDefault="00207DCC" w:rsidP="5CD9741F">
      <w:pPr>
        <w:spacing w:after="0"/>
        <w:rPr>
          <w:rFonts w:ascii="Franklin Gothic Book" w:eastAsia="Franklin Gothic Book" w:hAnsi="Franklin Gothic Book" w:cs="Franklin Gothic Book"/>
        </w:rPr>
      </w:pPr>
    </w:p>
    <w:p w14:paraId="7C898844" w14:textId="77777777" w:rsidR="00BF199E" w:rsidRDefault="00BF199E">
      <w:pPr>
        <w:rPr>
          <w:rFonts w:ascii="Franklin Gothic Book" w:eastAsia="Franklin Gothic Book" w:hAnsi="Franklin Gothic Book" w:cs="Franklin Gothic Book"/>
          <w:b/>
          <w:bCs/>
        </w:rPr>
      </w:pPr>
      <w:r>
        <w:rPr>
          <w:rFonts w:ascii="Franklin Gothic Book" w:eastAsia="Franklin Gothic Book" w:hAnsi="Franklin Gothic Book" w:cs="Franklin Gothic Book"/>
          <w:b/>
          <w:bCs/>
        </w:rPr>
        <w:br w:type="page"/>
      </w:r>
    </w:p>
    <w:p w14:paraId="63337490" w14:textId="5C77D740" w:rsidR="00207DCC" w:rsidRPr="00D9350F" w:rsidRDefault="00BF199E" w:rsidP="00124CCF">
      <w:pPr>
        <w:pStyle w:val="Heading3"/>
        <w:rPr>
          <w:rFonts w:ascii="Franklin Gothic Book" w:eastAsia="Franklin Gothic Book" w:hAnsi="Franklin Gothic Book" w:cs="Franklin Gothic Book"/>
          <w:sz w:val="22"/>
          <w:szCs w:val="22"/>
        </w:rPr>
      </w:pPr>
      <w:r w:rsidRPr="00D9350F">
        <w:rPr>
          <w:rFonts w:ascii="Franklin Gothic Book" w:eastAsia="Franklin Gothic Book" w:hAnsi="Franklin Gothic Book" w:cs="Franklin Gothic Book"/>
          <w:sz w:val="22"/>
          <w:szCs w:val="22"/>
        </w:rPr>
        <w:lastRenderedPageBreak/>
        <w:t>V</w:t>
      </w:r>
      <w:r w:rsidR="00AE7D4F" w:rsidRPr="00D9350F">
        <w:rPr>
          <w:rFonts w:ascii="Franklin Gothic Book" w:eastAsia="Franklin Gothic Book" w:hAnsi="Franklin Gothic Book" w:cs="Franklin Gothic Book"/>
          <w:sz w:val="22"/>
          <w:szCs w:val="22"/>
        </w:rPr>
        <w:t>ENDOR &amp; ADVANCED CREDIT EXAM DATA</w:t>
      </w:r>
    </w:p>
    <w:p w14:paraId="127FD2E0" w14:textId="39D4A535" w:rsidR="5CD9741F" w:rsidRPr="00876E44" w:rsidRDefault="00876E44" w:rsidP="5CD9741F">
      <w:pPr>
        <w:spacing w:after="0"/>
        <w:rPr>
          <w:rFonts w:ascii="Franklin Gothic Book" w:eastAsia="Franklin Gothic Book" w:hAnsi="Franklin Gothic Book" w:cs="Franklin Gothic Book"/>
        </w:rPr>
      </w:pPr>
      <w:r w:rsidRPr="00876E44">
        <w:rPr>
          <w:rFonts w:ascii="Franklin Gothic Book" w:eastAsia="Franklin Gothic Book" w:hAnsi="Franklin Gothic Book" w:cs="Franklin Gothic Book"/>
        </w:rPr>
        <w:t>The bar graph below provides a comparison of advanced credit and external vendor testing volumes administered by Purdue Testing Services (PTS) over the last four academic years (2021–22 through 2024–25). The data highlights the wide variety of exams offered, including the FE, GMAT, Microsoft, Praxis, GRE, CLEP, and Purdue’s own Chemistry (CHM) and Computer Science (CS 159) advanced credit exams. In Spring 2025, PTS added CNIT exams to its offerings, contributing to a notable increase in advanced credit testing. Significant growth was also seen in both the FE and CLEP exams, with FE rising from 9 in 2021–22 to 402 in 2024–25, and CLEP increasing from 175 to 387 during the same period. These increases reflect PTS’s expanded testing schedule and the addition of more testing dates for external vendor exams, which has enhanced accessibility and better met student demand. Although some exams, such as GMAT, continue to see lower volumes compared to previous years, the overall upward trend underscores PTS’s adaptability and continued growth in facilitating a broad range of credentialing and credit opportunities across disciplines and testing providers.</w:t>
      </w:r>
    </w:p>
    <w:p w14:paraId="16B73560" w14:textId="252A6A05" w:rsidR="004F6D43" w:rsidRPr="000A5F33" w:rsidRDefault="00996039" w:rsidP="5CD9741F">
      <w:pPr>
        <w:spacing w:after="0"/>
        <w:rPr>
          <w:rFonts w:ascii="Franklin Gothic Book" w:eastAsia="Franklin Gothic Book" w:hAnsi="Franklin Gothic Book" w:cs="Franklin Gothic Book"/>
          <w:b/>
          <w:bCs/>
        </w:rPr>
      </w:pPr>
      <w:r>
        <w:rPr>
          <w:noProof/>
        </w:rPr>
        <w:drawing>
          <wp:inline distT="0" distB="0" distL="0" distR="0" wp14:anchorId="67320553" wp14:editId="74B97733">
            <wp:extent cx="6400800" cy="3093085"/>
            <wp:effectExtent l="0" t="0" r="0" b="12065"/>
            <wp:docPr id="1426656190" name="Chart 1" descr="This is a bar graph. The paragraph that precedes this chart explains its content.">
              <a:extLst xmlns:a="http://schemas.openxmlformats.org/drawingml/2006/main">
                <a:ext uri="{FF2B5EF4-FFF2-40B4-BE49-F238E27FC236}">
                  <a16:creationId xmlns:a16="http://schemas.microsoft.com/office/drawing/2014/main" id="{0DB51739-5DAC-AEB2-02B2-2E6710E42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3ABABE" w14:textId="2597DC54" w:rsidR="098E567C" w:rsidRDefault="098E567C" w:rsidP="5CD9741F">
      <w:pPr>
        <w:spacing w:after="0"/>
        <w:rPr>
          <w:rFonts w:ascii="Franklin Gothic Book" w:eastAsia="Franklin Gothic Book" w:hAnsi="Franklin Gothic Book" w:cs="Franklin Gothic Book"/>
        </w:rPr>
      </w:pPr>
    </w:p>
    <w:p w14:paraId="64D2F14E" w14:textId="74B980C5" w:rsidR="50C1EADE" w:rsidRPr="00D9350F" w:rsidRDefault="00D27A7C" w:rsidP="00124CCF">
      <w:pPr>
        <w:pStyle w:val="Heading3"/>
        <w:rPr>
          <w:rFonts w:ascii="Franklin Gothic Book" w:eastAsia="Franklin Gothic Book" w:hAnsi="Franklin Gothic Book" w:cs="Franklin Gothic Book"/>
          <w:i w:val="0"/>
          <w:iCs w:val="0"/>
          <w:sz w:val="22"/>
          <w:szCs w:val="22"/>
        </w:rPr>
      </w:pPr>
      <w:r w:rsidRPr="00D9350F">
        <w:rPr>
          <w:rFonts w:ascii="Franklin Gothic Book" w:eastAsia="Franklin Gothic Book" w:hAnsi="Franklin Gothic Book" w:cs="Franklin Gothic Book"/>
          <w:sz w:val="22"/>
          <w:szCs w:val="22"/>
        </w:rPr>
        <w:t xml:space="preserve">PTS </w:t>
      </w:r>
      <w:r w:rsidRPr="00D9350F">
        <w:rPr>
          <w:rFonts w:ascii="Franklin Gothic Book" w:hAnsi="Franklin Gothic Book"/>
          <w:sz w:val="22"/>
          <w:szCs w:val="22"/>
        </w:rPr>
        <w:t>expanded</w:t>
      </w:r>
      <w:r w:rsidRPr="00D9350F">
        <w:rPr>
          <w:rFonts w:ascii="Franklin Gothic Book" w:eastAsia="Franklin Gothic Book" w:hAnsi="Franklin Gothic Book" w:cs="Franklin Gothic Book"/>
          <w:sz w:val="22"/>
          <w:szCs w:val="22"/>
        </w:rPr>
        <w:t xml:space="preserve"> vendor testing capacity in May 2023 by adding additional testing stations, contributing to increased exam volumes in subsequent years.</w:t>
      </w:r>
    </w:p>
    <w:sectPr w:rsidR="50C1EADE" w:rsidRPr="00D9350F" w:rsidSect="00827370">
      <w:headerReference w:type="default"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553B" w14:textId="77777777" w:rsidR="00E15D02" w:rsidRDefault="00E15D02" w:rsidP="003975C2">
      <w:pPr>
        <w:spacing w:after="0" w:line="240" w:lineRule="auto"/>
      </w:pPr>
      <w:r>
        <w:separator/>
      </w:r>
    </w:p>
  </w:endnote>
  <w:endnote w:type="continuationSeparator" w:id="0">
    <w:p w14:paraId="391634C7" w14:textId="77777777" w:rsidR="00E15D02" w:rsidRDefault="00E15D02" w:rsidP="003975C2">
      <w:pPr>
        <w:spacing w:after="0" w:line="240" w:lineRule="auto"/>
      </w:pPr>
      <w:r>
        <w:continuationSeparator/>
      </w:r>
    </w:p>
  </w:endnote>
  <w:endnote w:type="continuationNotice" w:id="1">
    <w:p w14:paraId="51CABB93" w14:textId="77777777" w:rsidR="00E15D02" w:rsidRDefault="00E15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25E2" w14:textId="6D176D68" w:rsidR="00426BB6" w:rsidRDefault="00426BB6">
    <w:pPr>
      <w:pStyle w:val="Footer"/>
    </w:pPr>
    <w:r>
      <w:t xml:space="preserve">Last updated: </w:t>
    </w:r>
    <w:r>
      <w:fldChar w:fldCharType="begin"/>
    </w:r>
    <w:r>
      <w:instrText xml:space="preserve"> DATE \@ "MMMM d, yyyy" </w:instrText>
    </w:r>
    <w:r>
      <w:fldChar w:fldCharType="separate"/>
    </w:r>
    <w:r w:rsidR="00D4724F">
      <w:rPr>
        <w:noProof/>
      </w:rPr>
      <w:t>December 3, 2025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CD9741F" w14:paraId="7A80651D" w14:textId="77777777" w:rsidTr="5CD9741F">
      <w:trPr>
        <w:trHeight w:val="300"/>
      </w:trPr>
      <w:tc>
        <w:tcPr>
          <w:tcW w:w="3360" w:type="dxa"/>
        </w:tcPr>
        <w:p w14:paraId="4CBB794D" w14:textId="6B632ABA" w:rsidR="5CD9741F" w:rsidRDefault="5CD9741F" w:rsidP="5CD9741F">
          <w:pPr>
            <w:pStyle w:val="Header"/>
            <w:ind w:left="-115"/>
          </w:pPr>
        </w:p>
      </w:tc>
      <w:tc>
        <w:tcPr>
          <w:tcW w:w="3360" w:type="dxa"/>
        </w:tcPr>
        <w:p w14:paraId="43D64EAD" w14:textId="7FF16784" w:rsidR="5CD9741F" w:rsidRDefault="5CD9741F" w:rsidP="5CD9741F">
          <w:pPr>
            <w:pStyle w:val="Header"/>
            <w:jc w:val="center"/>
          </w:pPr>
        </w:p>
      </w:tc>
      <w:tc>
        <w:tcPr>
          <w:tcW w:w="3360" w:type="dxa"/>
        </w:tcPr>
        <w:p w14:paraId="3E114F16" w14:textId="2DDA2CB2" w:rsidR="5CD9741F" w:rsidRDefault="5CD9741F" w:rsidP="5CD9741F">
          <w:pPr>
            <w:pStyle w:val="Header"/>
            <w:ind w:right="-115"/>
            <w:jc w:val="right"/>
          </w:pPr>
        </w:p>
      </w:tc>
    </w:tr>
  </w:tbl>
  <w:p w14:paraId="6FDAFB02" w14:textId="6392329E" w:rsidR="5CD9741F" w:rsidRDefault="5CD9741F" w:rsidP="5CD97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DCF0" w14:textId="77777777" w:rsidR="00E15D02" w:rsidRDefault="00E15D02" w:rsidP="003975C2">
      <w:pPr>
        <w:spacing w:after="0" w:line="240" w:lineRule="auto"/>
      </w:pPr>
      <w:r>
        <w:separator/>
      </w:r>
    </w:p>
  </w:footnote>
  <w:footnote w:type="continuationSeparator" w:id="0">
    <w:p w14:paraId="6EFA1645" w14:textId="77777777" w:rsidR="00E15D02" w:rsidRDefault="00E15D02" w:rsidP="003975C2">
      <w:pPr>
        <w:spacing w:after="0" w:line="240" w:lineRule="auto"/>
      </w:pPr>
      <w:r>
        <w:continuationSeparator/>
      </w:r>
    </w:p>
  </w:footnote>
  <w:footnote w:type="continuationNotice" w:id="1">
    <w:p w14:paraId="17996F4D" w14:textId="77777777" w:rsidR="00E15D02" w:rsidRDefault="00E15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7C11" w14:textId="77777777" w:rsidR="00E81A3F" w:rsidRDefault="00E81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CD9741F" w14:paraId="7C4C57D4" w14:textId="77777777" w:rsidTr="5CD9741F">
      <w:trPr>
        <w:trHeight w:val="300"/>
      </w:trPr>
      <w:tc>
        <w:tcPr>
          <w:tcW w:w="3360" w:type="dxa"/>
        </w:tcPr>
        <w:p w14:paraId="70CF72FE" w14:textId="0191061B" w:rsidR="5CD9741F" w:rsidRDefault="5CD9741F" w:rsidP="5CD9741F">
          <w:pPr>
            <w:pStyle w:val="Header"/>
            <w:ind w:left="-115"/>
          </w:pPr>
        </w:p>
      </w:tc>
      <w:tc>
        <w:tcPr>
          <w:tcW w:w="3360" w:type="dxa"/>
        </w:tcPr>
        <w:p w14:paraId="3FDF3F45" w14:textId="2E7BCA1B" w:rsidR="5CD9741F" w:rsidRDefault="5CD9741F" w:rsidP="5CD9741F">
          <w:pPr>
            <w:pStyle w:val="Header"/>
            <w:jc w:val="center"/>
          </w:pPr>
        </w:p>
      </w:tc>
      <w:tc>
        <w:tcPr>
          <w:tcW w:w="3360" w:type="dxa"/>
        </w:tcPr>
        <w:p w14:paraId="0C594500" w14:textId="35EF8F37" w:rsidR="5CD9741F" w:rsidRDefault="5CD9741F" w:rsidP="5CD9741F">
          <w:pPr>
            <w:pStyle w:val="Header"/>
            <w:ind w:right="-115"/>
            <w:jc w:val="right"/>
          </w:pPr>
        </w:p>
      </w:tc>
    </w:tr>
  </w:tbl>
  <w:p w14:paraId="49183DEB" w14:textId="77777777" w:rsidR="5CD9741F" w:rsidRDefault="5CD9741F" w:rsidP="5CD9741F">
    <w:pPr>
      <w:pStyle w:val="Header"/>
    </w:pPr>
    <w:r>
      <w:rPr>
        <w:noProof/>
      </w:rPr>
      <w:drawing>
        <wp:inline distT="0" distB="0" distL="0" distR="0" wp14:anchorId="23D5D1CF" wp14:editId="07226570">
          <wp:extent cx="5676900" cy="606224"/>
          <wp:effectExtent l="0" t="0" r="0" b="0"/>
          <wp:docPr id="384011889" name="Picture 1" descr="Purdue Testing Services co-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6900" cy="606224"/>
                  </a:xfrm>
                  <a:prstGeom prst="rect">
                    <a:avLst/>
                  </a:prstGeom>
                  <a:noFill/>
                  <a:ln>
                    <a:noFill/>
                  </a:ln>
                </pic:spPr>
              </pic:pic>
            </a:graphicData>
          </a:graphic>
        </wp:inline>
      </w:drawing>
    </w:r>
  </w:p>
  <w:p w14:paraId="79D95EE9" w14:textId="77777777" w:rsidR="5CD9741F" w:rsidRDefault="5CD9741F" w:rsidP="5CD9741F">
    <w:pPr>
      <w:pStyle w:val="Header"/>
    </w:pPr>
  </w:p>
  <w:p w14:paraId="7437BE8E" w14:textId="171CB7C7" w:rsidR="5CD9741F" w:rsidRDefault="5CD9741F" w:rsidP="5CD9741F">
    <w:pPr>
      <w:pStyle w:val="Header"/>
    </w:pPr>
  </w:p>
  <w:p w14:paraId="471AB735" w14:textId="70E5CEAE" w:rsidR="5CD9741F" w:rsidRDefault="5CD9741F" w:rsidP="5CD9741F">
    <w:pPr>
      <w:pStyle w:val="Header"/>
    </w:pPr>
  </w:p>
  <w:p w14:paraId="4E58A3B0" w14:textId="03AFF1F0" w:rsidR="5CD9741F" w:rsidRDefault="5CD9741F" w:rsidP="5CD97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DF9"/>
    <w:multiLevelType w:val="hybridMultilevel"/>
    <w:tmpl w:val="95BCB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0D47"/>
    <w:multiLevelType w:val="hybridMultilevel"/>
    <w:tmpl w:val="4434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44036A"/>
    <w:multiLevelType w:val="hybridMultilevel"/>
    <w:tmpl w:val="5418B01E"/>
    <w:lvl w:ilvl="0" w:tplc="4CACD1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003CC2"/>
    <w:multiLevelType w:val="multilevel"/>
    <w:tmpl w:val="5B76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36BAF"/>
    <w:multiLevelType w:val="hybridMultilevel"/>
    <w:tmpl w:val="C4BE2828"/>
    <w:lvl w:ilvl="0" w:tplc="ED5EF0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F4ED1"/>
    <w:multiLevelType w:val="hybridMultilevel"/>
    <w:tmpl w:val="B59E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4631FE"/>
    <w:multiLevelType w:val="hybridMultilevel"/>
    <w:tmpl w:val="3A1C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80F51"/>
    <w:multiLevelType w:val="hybridMultilevel"/>
    <w:tmpl w:val="74B0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652E2"/>
    <w:multiLevelType w:val="hybridMultilevel"/>
    <w:tmpl w:val="FA6216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EA648A9"/>
    <w:multiLevelType w:val="hybridMultilevel"/>
    <w:tmpl w:val="75D29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45D58"/>
    <w:multiLevelType w:val="hybridMultilevel"/>
    <w:tmpl w:val="761A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B26EA"/>
    <w:multiLevelType w:val="hybridMultilevel"/>
    <w:tmpl w:val="4DA8B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41FC1"/>
    <w:multiLevelType w:val="hybridMultilevel"/>
    <w:tmpl w:val="AD4E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F713E"/>
    <w:multiLevelType w:val="multilevel"/>
    <w:tmpl w:val="734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C4616"/>
    <w:multiLevelType w:val="hybridMultilevel"/>
    <w:tmpl w:val="10FC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228BB"/>
    <w:multiLevelType w:val="hybridMultilevel"/>
    <w:tmpl w:val="81FA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D73BBE"/>
    <w:multiLevelType w:val="hybridMultilevel"/>
    <w:tmpl w:val="18EA3152"/>
    <w:lvl w:ilvl="0" w:tplc="A83222D4">
      <w:start w:val="1"/>
      <w:numFmt w:val="bullet"/>
      <w:lvlText w:val=""/>
      <w:lvlJc w:val="left"/>
      <w:pPr>
        <w:ind w:left="720" w:hanging="360"/>
      </w:pPr>
      <w:rPr>
        <w:rFonts w:ascii="Symbol" w:hAnsi="Symbol" w:hint="default"/>
      </w:rPr>
    </w:lvl>
    <w:lvl w:ilvl="1" w:tplc="9FC869F2">
      <w:start w:val="1"/>
      <w:numFmt w:val="bullet"/>
      <w:lvlText w:val="o"/>
      <w:lvlJc w:val="left"/>
      <w:pPr>
        <w:ind w:left="1440" w:hanging="360"/>
      </w:pPr>
      <w:rPr>
        <w:rFonts w:ascii="Courier New" w:hAnsi="Courier New" w:hint="default"/>
      </w:rPr>
    </w:lvl>
    <w:lvl w:ilvl="2" w:tplc="D47ACB2A">
      <w:start w:val="1"/>
      <w:numFmt w:val="bullet"/>
      <w:lvlText w:val=""/>
      <w:lvlJc w:val="left"/>
      <w:pPr>
        <w:ind w:left="2160" w:hanging="360"/>
      </w:pPr>
      <w:rPr>
        <w:rFonts w:ascii="Wingdings" w:hAnsi="Wingdings" w:hint="default"/>
      </w:rPr>
    </w:lvl>
    <w:lvl w:ilvl="3" w:tplc="82C09F7A">
      <w:start w:val="1"/>
      <w:numFmt w:val="bullet"/>
      <w:lvlText w:val=""/>
      <w:lvlJc w:val="left"/>
      <w:pPr>
        <w:ind w:left="2880" w:hanging="360"/>
      </w:pPr>
      <w:rPr>
        <w:rFonts w:ascii="Symbol" w:hAnsi="Symbol" w:hint="default"/>
      </w:rPr>
    </w:lvl>
    <w:lvl w:ilvl="4" w:tplc="A940AAD4">
      <w:start w:val="1"/>
      <w:numFmt w:val="bullet"/>
      <w:lvlText w:val="o"/>
      <w:lvlJc w:val="left"/>
      <w:pPr>
        <w:ind w:left="3600" w:hanging="360"/>
      </w:pPr>
      <w:rPr>
        <w:rFonts w:ascii="Courier New" w:hAnsi="Courier New" w:hint="default"/>
      </w:rPr>
    </w:lvl>
    <w:lvl w:ilvl="5" w:tplc="FA7AA950">
      <w:start w:val="1"/>
      <w:numFmt w:val="bullet"/>
      <w:lvlText w:val=""/>
      <w:lvlJc w:val="left"/>
      <w:pPr>
        <w:ind w:left="4320" w:hanging="360"/>
      </w:pPr>
      <w:rPr>
        <w:rFonts w:ascii="Wingdings" w:hAnsi="Wingdings" w:hint="default"/>
      </w:rPr>
    </w:lvl>
    <w:lvl w:ilvl="6" w:tplc="D34EE644">
      <w:start w:val="1"/>
      <w:numFmt w:val="bullet"/>
      <w:lvlText w:val=""/>
      <w:lvlJc w:val="left"/>
      <w:pPr>
        <w:ind w:left="5040" w:hanging="360"/>
      </w:pPr>
      <w:rPr>
        <w:rFonts w:ascii="Symbol" w:hAnsi="Symbol" w:hint="default"/>
      </w:rPr>
    </w:lvl>
    <w:lvl w:ilvl="7" w:tplc="6E04FAD2">
      <w:start w:val="1"/>
      <w:numFmt w:val="bullet"/>
      <w:lvlText w:val="o"/>
      <w:lvlJc w:val="left"/>
      <w:pPr>
        <w:ind w:left="5760" w:hanging="360"/>
      </w:pPr>
      <w:rPr>
        <w:rFonts w:ascii="Courier New" w:hAnsi="Courier New" w:hint="default"/>
      </w:rPr>
    </w:lvl>
    <w:lvl w:ilvl="8" w:tplc="D496F84E">
      <w:start w:val="1"/>
      <w:numFmt w:val="bullet"/>
      <w:lvlText w:val=""/>
      <w:lvlJc w:val="left"/>
      <w:pPr>
        <w:ind w:left="6480" w:hanging="360"/>
      </w:pPr>
      <w:rPr>
        <w:rFonts w:ascii="Wingdings" w:hAnsi="Wingdings" w:hint="default"/>
      </w:rPr>
    </w:lvl>
  </w:abstractNum>
  <w:abstractNum w:abstractNumId="17" w15:restartNumberingAfterBreak="0">
    <w:nsid w:val="557B0B7E"/>
    <w:multiLevelType w:val="hybridMultilevel"/>
    <w:tmpl w:val="01BCC4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62FD7DD"/>
    <w:multiLevelType w:val="hybridMultilevel"/>
    <w:tmpl w:val="CBA03EF8"/>
    <w:lvl w:ilvl="0" w:tplc="2032804A">
      <w:start w:val="1"/>
      <w:numFmt w:val="bullet"/>
      <w:lvlText w:val=""/>
      <w:lvlJc w:val="left"/>
      <w:pPr>
        <w:ind w:left="720" w:hanging="360"/>
      </w:pPr>
      <w:rPr>
        <w:rFonts w:ascii="Symbol" w:hAnsi="Symbol" w:hint="default"/>
      </w:rPr>
    </w:lvl>
    <w:lvl w:ilvl="1" w:tplc="168073E6">
      <w:start w:val="1"/>
      <w:numFmt w:val="bullet"/>
      <w:lvlText w:val="o"/>
      <w:lvlJc w:val="left"/>
      <w:pPr>
        <w:ind w:left="1440" w:hanging="360"/>
      </w:pPr>
      <w:rPr>
        <w:rFonts w:ascii="Courier New" w:hAnsi="Courier New" w:hint="default"/>
      </w:rPr>
    </w:lvl>
    <w:lvl w:ilvl="2" w:tplc="99B09870">
      <w:start w:val="1"/>
      <w:numFmt w:val="bullet"/>
      <w:lvlText w:val=""/>
      <w:lvlJc w:val="left"/>
      <w:pPr>
        <w:ind w:left="2160" w:hanging="360"/>
      </w:pPr>
      <w:rPr>
        <w:rFonts w:ascii="Wingdings" w:hAnsi="Wingdings" w:hint="default"/>
      </w:rPr>
    </w:lvl>
    <w:lvl w:ilvl="3" w:tplc="AE629362">
      <w:start w:val="1"/>
      <w:numFmt w:val="bullet"/>
      <w:lvlText w:val=""/>
      <w:lvlJc w:val="left"/>
      <w:pPr>
        <w:ind w:left="2880" w:hanging="360"/>
      </w:pPr>
      <w:rPr>
        <w:rFonts w:ascii="Symbol" w:hAnsi="Symbol" w:hint="default"/>
      </w:rPr>
    </w:lvl>
    <w:lvl w:ilvl="4" w:tplc="86F28A3C">
      <w:start w:val="1"/>
      <w:numFmt w:val="bullet"/>
      <w:lvlText w:val="o"/>
      <w:lvlJc w:val="left"/>
      <w:pPr>
        <w:ind w:left="3600" w:hanging="360"/>
      </w:pPr>
      <w:rPr>
        <w:rFonts w:ascii="Courier New" w:hAnsi="Courier New" w:hint="default"/>
      </w:rPr>
    </w:lvl>
    <w:lvl w:ilvl="5" w:tplc="B4803D54">
      <w:start w:val="1"/>
      <w:numFmt w:val="bullet"/>
      <w:lvlText w:val=""/>
      <w:lvlJc w:val="left"/>
      <w:pPr>
        <w:ind w:left="4320" w:hanging="360"/>
      </w:pPr>
      <w:rPr>
        <w:rFonts w:ascii="Wingdings" w:hAnsi="Wingdings" w:hint="default"/>
      </w:rPr>
    </w:lvl>
    <w:lvl w:ilvl="6" w:tplc="31D087DA">
      <w:start w:val="1"/>
      <w:numFmt w:val="bullet"/>
      <w:lvlText w:val=""/>
      <w:lvlJc w:val="left"/>
      <w:pPr>
        <w:ind w:left="5040" w:hanging="360"/>
      </w:pPr>
      <w:rPr>
        <w:rFonts w:ascii="Symbol" w:hAnsi="Symbol" w:hint="default"/>
      </w:rPr>
    </w:lvl>
    <w:lvl w:ilvl="7" w:tplc="5A945C66">
      <w:start w:val="1"/>
      <w:numFmt w:val="bullet"/>
      <w:lvlText w:val="o"/>
      <w:lvlJc w:val="left"/>
      <w:pPr>
        <w:ind w:left="5760" w:hanging="360"/>
      </w:pPr>
      <w:rPr>
        <w:rFonts w:ascii="Courier New" w:hAnsi="Courier New" w:hint="default"/>
      </w:rPr>
    </w:lvl>
    <w:lvl w:ilvl="8" w:tplc="4B265A20">
      <w:start w:val="1"/>
      <w:numFmt w:val="bullet"/>
      <w:lvlText w:val=""/>
      <w:lvlJc w:val="left"/>
      <w:pPr>
        <w:ind w:left="6480" w:hanging="360"/>
      </w:pPr>
      <w:rPr>
        <w:rFonts w:ascii="Wingdings" w:hAnsi="Wingdings" w:hint="default"/>
      </w:rPr>
    </w:lvl>
  </w:abstractNum>
  <w:abstractNum w:abstractNumId="19" w15:restartNumberingAfterBreak="0">
    <w:nsid w:val="7A5E41F5"/>
    <w:multiLevelType w:val="hybridMultilevel"/>
    <w:tmpl w:val="EA6A9A06"/>
    <w:lvl w:ilvl="0" w:tplc="18D86D4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2A309F"/>
    <w:multiLevelType w:val="hybridMultilevel"/>
    <w:tmpl w:val="909C4A78"/>
    <w:lvl w:ilvl="0" w:tplc="53FA26A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324268">
    <w:abstractNumId w:val="18"/>
  </w:num>
  <w:num w:numId="2" w16cid:durableId="1785149803">
    <w:abstractNumId w:val="16"/>
  </w:num>
  <w:num w:numId="3" w16cid:durableId="686175275">
    <w:abstractNumId w:val="15"/>
  </w:num>
  <w:num w:numId="4" w16cid:durableId="1588229957">
    <w:abstractNumId w:val="5"/>
  </w:num>
  <w:num w:numId="5" w16cid:durableId="1554657875">
    <w:abstractNumId w:val="1"/>
  </w:num>
  <w:num w:numId="6" w16cid:durableId="1550798056">
    <w:abstractNumId w:val="19"/>
  </w:num>
  <w:num w:numId="7" w16cid:durableId="999119718">
    <w:abstractNumId w:val="4"/>
  </w:num>
  <w:num w:numId="8" w16cid:durableId="1073315376">
    <w:abstractNumId w:val="3"/>
  </w:num>
  <w:num w:numId="9" w16cid:durableId="675573210">
    <w:abstractNumId w:val="13"/>
  </w:num>
  <w:num w:numId="10" w16cid:durableId="1400707314">
    <w:abstractNumId w:val="20"/>
  </w:num>
  <w:num w:numId="11" w16cid:durableId="716899424">
    <w:abstractNumId w:val="2"/>
  </w:num>
  <w:num w:numId="12" w16cid:durableId="2112697264">
    <w:abstractNumId w:val="7"/>
  </w:num>
  <w:num w:numId="13" w16cid:durableId="258372328">
    <w:abstractNumId w:val="0"/>
  </w:num>
  <w:num w:numId="14" w16cid:durableId="599412131">
    <w:abstractNumId w:val="9"/>
  </w:num>
  <w:num w:numId="15" w16cid:durableId="1927496122">
    <w:abstractNumId w:val="12"/>
  </w:num>
  <w:num w:numId="16" w16cid:durableId="1593513162">
    <w:abstractNumId w:val="14"/>
  </w:num>
  <w:num w:numId="17" w16cid:durableId="291327796">
    <w:abstractNumId w:val="11"/>
  </w:num>
  <w:num w:numId="18" w16cid:durableId="2025747054">
    <w:abstractNumId w:val="8"/>
  </w:num>
  <w:num w:numId="19" w16cid:durableId="849218619">
    <w:abstractNumId w:val="17"/>
  </w:num>
  <w:num w:numId="20" w16cid:durableId="1591498891">
    <w:abstractNumId w:val="6"/>
  </w:num>
  <w:num w:numId="21" w16cid:durableId="604195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C2"/>
    <w:rsid w:val="00001786"/>
    <w:rsid w:val="00010504"/>
    <w:rsid w:val="000168C3"/>
    <w:rsid w:val="0001773A"/>
    <w:rsid w:val="00046334"/>
    <w:rsid w:val="000619EC"/>
    <w:rsid w:val="00063344"/>
    <w:rsid w:val="00063912"/>
    <w:rsid w:val="00070C37"/>
    <w:rsid w:val="00076BAA"/>
    <w:rsid w:val="00081D2C"/>
    <w:rsid w:val="00082757"/>
    <w:rsid w:val="000847EA"/>
    <w:rsid w:val="00091FB5"/>
    <w:rsid w:val="00095A99"/>
    <w:rsid w:val="00097F57"/>
    <w:rsid w:val="000A5F33"/>
    <w:rsid w:val="000B4E3F"/>
    <w:rsid w:val="000F544C"/>
    <w:rsid w:val="000F5E4F"/>
    <w:rsid w:val="00124CCF"/>
    <w:rsid w:val="00147B7F"/>
    <w:rsid w:val="00152A17"/>
    <w:rsid w:val="001716CB"/>
    <w:rsid w:val="001725E2"/>
    <w:rsid w:val="00180C66"/>
    <w:rsid w:val="00184AD1"/>
    <w:rsid w:val="001A4382"/>
    <w:rsid w:val="001B3149"/>
    <w:rsid w:val="001C5C1D"/>
    <w:rsid w:val="001D234B"/>
    <w:rsid w:val="00207DCC"/>
    <w:rsid w:val="00213F27"/>
    <w:rsid w:val="00214E64"/>
    <w:rsid w:val="002179E8"/>
    <w:rsid w:val="00222D86"/>
    <w:rsid w:val="002262AA"/>
    <w:rsid w:val="00230367"/>
    <w:rsid w:val="0023179C"/>
    <w:rsid w:val="00235D2B"/>
    <w:rsid w:val="00241411"/>
    <w:rsid w:val="002544EF"/>
    <w:rsid w:val="0026471D"/>
    <w:rsid w:val="0026570D"/>
    <w:rsid w:val="00271D2D"/>
    <w:rsid w:val="0028136A"/>
    <w:rsid w:val="002A4715"/>
    <w:rsid w:val="002A65DC"/>
    <w:rsid w:val="002C2E5B"/>
    <w:rsid w:val="002C33C7"/>
    <w:rsid w:val="002D1B2B"/>
    <w:rsid w:val="002D3C24"/>
    <w:rsid w:val="002D6974"/>
    <w:rsid w:val="002E1C0B"/>
    <w:rsid w:val="002E5AD6"/>
    <w:rsid w:val="002E6FAE"/>
    <w:rsid w:val="002F0647"/>
    <w:rsid w:val="002F0A30"/>
    <w:rsid w:val="0030631C"/>
    <w:rsid w:val="00313EA6"/>
    <w:rsid w:val="00317BC6"/>
    <w:rsid w:val="003249AC"/>
    <w:rsid w:val="00334A08"/>
    <w:rsid w:val="0034386C"/>
    <w:rsid w:val="00346FB2"/>
    <w:rsid w:val="00352BC3"/>
    <w:rsid w:val="00363DE7"/>
    <w:rsid w:val="003728F3"/>
    <w:rsid w:val="003741F4"/>
    <w:rsid w:val="00387306"/>
    <w:rsid w:val="003975C2"/>
    <w:rsid w:val="003A065B"/>
    <w:rsid w:val="003A4D8A"/>
    <w:rsid w:val="003C2262"/>
    <w:rsid w:val="003C40A2"/>
    <w:rsid w:val="003C6C0C"/>
    <w:rsid w:val="003F1D3B"/>
    <w:rsid w:val="003F5F86"/>
    <w:rsid w:val="00426BB6"/>
    <w:rsid w:val="00434D51"/>
    <w:rsid w:val="004709BB"/>
    <w:rsid w:val="004840F8"/>
    <w:rsid w:val="0048797B"/>
    <w:rsid w:val="00490B96"/>
    <w:rsid w:val="004B7DE4"/>
    <w:rsid w:val="004C2227"/>
    <w:rsid w:val="004D57E2"/>
    <w:rsid w:val="004F0FCE"/>
    <w:rsid w:val="004F3B2E"/>
    <w:rsid w:val="004F6D43"/>
    <w:rsid w:val="0050457F"/>
    <w:rsid w:val="00513520"/>
    <w:rsid w:val="005260F6"/>
    <w:rsid w:val="005572B8"/>
    <w:rsid w:val="00561758"/>
    <w:rsid w:val="0057166B"/>
    <w:rsid w:val="00574A1F"/>
    <w:rsid w:val="005A1974"/>
    <w:rsid w:val="005A4402"/>
    <w:rsid w:val="005A7EF1"/>
    <w:rsid w:val="005C220C"/>
    <w:rsid w:val="005C61E7"/>
    <w:rsid w:val="005D121C"/>
    <w:rsid w:val="005D2D32"/>
    <w:rsid w:val="005E6C8A"/>
    <w:rsid w:val="005F25B2"/>
    <w:rsid w:val="00600ED7"/>
    <w:rsid w:val="0061136F"/>
    <w:rsid w:val="006160FF"/>
    <w:rsid w:val="00622E2B"/>
    <w:rsid w:val="006311FA"/>
    <w:rsid w:val="00632190"/>
    <w:rsid w:val="00637784"/>
    <w:rsid w:val="00645AE7"/>
    <w:rsid w:val="00651CAF"/>
    <w:rsid w:val="00655EFD"/>
    <w:rsid w:val="00660DAF"/>
    <w:rsid w:val="00691460"/>
    <w:rsid w:val="00691B78"/>
    <w:rsid w:val="006A0FFA"/>
    <w:rsid w:val="006A3AFC"/>
    <w:rsid w:val="006A6075"/>
    <w:rsid w:val="006C367F"/>
    <w:rsid w:val="006C6C72"/>
    <w:rsid w:val="006D22C3"/>
    <w:rsid w:val="006D6A33"/>
    <w:rsid w:val="006E1433"/>
    <w:rsid w:val="006E22E7"/>
    <w:rsid w:val="006E648C"/>
    <w:rsid w:val="00705063"/>
    <w:rsid w:val="00714390"/>
    <w:rsid w:val="00721C23"/>
    <w:rsid w:val="00736CAA"/>
    <w:rsid w:val="0075324B"/>
    <w:rsid w:val="007855B3"/>
    <w:rsid w:val="0079603E"/>
    <w:rsid w:val="007A6A6A"/>
    <w:rsid w:val="007B1D75"/>
    <w:rsid w:val="007B62AF"/>
    <w:rsid w:val="007C5D56"/>
    <w:rsid w:val="007E1D17"/>
    <w:rsid w:val="007F1723"/>
    <w:rsid w:val="0081487F"/>
    <w:rsid w:val="008245AB"/>
    <w:rsid w:val="0082543C"/>
    <w:rsid w:val="00827370"/>
    <w:rsid w:val="008509E6"/>
    <w:rsid w:val="008614DD"/>
    <w:rsid w:val="00861519"/>
    <w:rsid w:val="00876E44"/>
    <w:rsid w:val="00892151"/>
    <w:rsid w:val="008A11CB"/>
    <w:rsid w:val="008A4118"/>
    <w:rsid w:val="008A6154"/>
    <w:rsid w:val="008A6C44"/>
    <w:rsid w:val="008B0E19"/>
    <w:rsid w:val="008B310D"/>
    <w:rsid w:val="008C72CA"/>
    <w:rsid w:val="008E3917"/>
    <w:rsid w:val="008E49FF"/>
    <w:rsid w:val="008E67BA"/>
    <w:rsid w:val="008F05CF"/>
    <w:rsid w:val="0090462F"/>
    <w:rsid w:val="00913F57"/>
    <w:rsid w:val="009237C2"/>
    <w:rsid w:val="00926286"/>
    <w:rsid w:val="009274A6"/>
    <w:rsid w:val="00934ABF"/>
    <w:rsid w:val="00943CC3"/>
    <w:rsid w:val="00946AB7"/>
    <w:rsid w:val="00960F07"/>
    <w:rsid w:val="00965832"/>
    <w:rsid w:val="00973AFC"/>
    <w:rsid w:val="00976CE0"/>
    <w:rsid w:val="00980622"/>
    <w:rsid w:val="009845F8"/>
    <w:rsid w:val="00996039"/>
    <w:rsid w:val="009976D7"/>
    <w:rsid w:val="00997D26"/>
    <w:rsid w:val="009A4975"/>
    <w:rsid w:val="009B0743"/>
    <w:rsid w:val="009B1892"/>
    <w:rsid w:val="009B7E50"/>
    <w:rsid w:val="009D0DE8"/>
    <w:rsid w:val="009D7A06"/>
    <w:rsid w:val="009E638D"/>
    <w:rsid w:val="00A000BE"/>
    <w:rsid w:val="00A144FA"/>
    <w:rsid w:val="00A20378"/>
    <w:rsid w:val="00A223FD"/>
    <w:rsid w:val="00A227D0"/>
    <w:rsid w:val="00A30AA2"/>
    <w:rsid w:val="00A324AC"/>
    <w:rsid w:val="00A41378"/>
    <w:rsid w:val="00A52B3B"/>
    <w:rsid w:val="00A56955"/>
    <w:rsid w:val="00A5696A"/>
    <w:rsid w:val="00A60113"/>
    <w:rsid w:val="00A71349"/>
    <w:rsid w:val="00A82BE7"/>
    <w:rsid w:val="00A82F44"/>
    <w:rsid w:val="00A90361"/>
    <w:rsid w:val="00AA19BD"/>
    <w:rsid w:val="00AA35D1"/>
    <w:rsid w:val="00AC1A01"/>
    <w:rsid w:val="00AD6D21"/>
    <w:rsid w:val="00AD700B"/>
    <w:rsid w:val="00AE185E"/>
    <w:rsid w:val="00AE7D4F"/>
    <w:rsid w:val="00B01368"/>
    <w:rsid w:val="00B23942"/>
    <w:rsid w:val="00B607AE"/>
    <w:rsid w:val="00B74A69"/>
    <w:rsid w:val="00B756FF"/>
    <w:rsid w:val="00BA1A3A"/>
    <w:rsid w:val="00BA5A00"/>
    <w:rsid w:val="00BB091E"/>
    <w:rsid w:val="00BB116E"/>
    <w:rsid w:val="00BD13B3"/>
    <w:rsid w:val="00BD516C"/>
    <w:rsid w:val="00BF199E"/>
    <w:rsid w:val="00C05AB7"/>
    <w:rsid w:val="00C07D37"/>
    <w:rsid w:val="00C32152"/>
    <w:rsid w:val="00C34A46"/>
    <w:rsid w:val="00C44596"/>
    <w:rsid w:val="00C45B99"/>
    <w:rsid w:val="00C56D11"/>
    <w:rsid w:val="00C82C26"/>
    <w:rsid w:val="00C90F2F"/>
    <w:rsid w:val="00CA4343"/>
    <w:rsid w:val="00D03A8C"/>
    <w:rsid w:val="00D07E67"/>
    <w:rsid w:val="00D21C6C"/>
    <w:rsid w:val="00D27A7C"/>
    <w:rsid w:val="00D33A55"/>
    <w:rsid w:val="00D34602"/>
    <w:rsid w:val="00D35DF8"/>
    <w:rsid w:val="00D4724F"/>
    <w:rsid w:val="00D75125"/>
    <w:rsid w:val="00D900E5"/>
    <w:rsid w:val="00D9096E"/>
    <w:rsid w:val="00D92E48"/>
    <w:rsid w:val="00D9350F"/>
    <w:rsid w:val="00DA463C"/>
    <w:rsid w:val="00DC2BDF"/>
    <w:rsid w:val="00DC34B2"/>
    <w:rsid w:val="00DD1F58"/>
    <w:rsid w:val="00DD5066"/>
    <w:rsid w:val="00DD7D81"/>
    <w:rsid w:val="00DF127C"/>
    <w:rsid w:val="00E1488B"/>
    <w:rsid w:val="00E15D02"/>
    <w:rsid w:val="00E2352E"/>
    <w:rsid w:val="00E30769"/>
    <w:rsid w:val="00E43018"/>
    <w:rsid w:val="00E44302"/>
    <w:rsid w:val="00E63DFE"/>
    <w:rsid w:val="00E64920"/>
    <w:rsid w:val="00E652A3"/>
    <w:rsid w:val="00E65E03"/>
    <w:rsid w:val="00E81A3F"/>
    <w:rsid w:val="00E83EE1"/>
    <w:rsid w:val="00E91B9C"/>
    <w:rsid w:val="00E95237"/>
    <w:rsid w:val="00EA3F19"/>
    <w:rsid w:val="00EB3516"/>
    <w:rsid w:val="00EB6F21"/>
    <w:rsid w:val="00EC1100"/>
    <w:rsid w:val="00EC7F4D"/>
    <w:rsid w:val="00ED152D"/>
    <w:rsid w:val="00F26986"/>
    <w:rsid w:val="00F309FD"/>
    <w:rsid w:val="00F30B4C"/>
    <w:rsid w:val="00F352F4"/>
    <w:rsid w:val="00F62197"/>
    <w:rsid w:val="00F774BC"/>
    <w:rsid w:val="00F86530"/>
    <w:rsid w:val="00F87248"/>
    <w:rsid w:val="00F93999"/>
    <w:rsid w:val="00F97509"/>
    <w:rsid w:val="00FA36EF"/>
    <w:rsid w:val="00FB5EE5"/>
    <w:rsid w:val="00FB65C2"/>
    <w:rsid w:val="00FD14EB"/>
    <w:rsid w:val="00FD5128"/>
    <w:rsid w:val="00FE625B"/>
    <w:rsid w:val="00FF33B1"/>
    <w:rsid w:val="00FF4852"/>
    <w:rsid w:val="015BDF31"/>
    <w:rsid w:val="01728E63"/>
    <w:rsid w:val="01A05918"/>
    <w:rsid w:val="01AE4BFE"/>
    <w:rsid w:val="01C0E5BB"/>
    <w:rsid w:val="020C09B2"/>
    <w:rsid w:val="02102537"/>
    <w:rsid w:val="027D5B90"/>
    <w:rsid w:val="02B5204F"/>
    <w:rsid w:val="02BC47FB"/>
    <w:rsid w:val="02C7DFAC"/>
    <w:rsid w:val="0463BD88"/>
    <w:rsid w:val="05883EE1"/>
    <w:rsid w:val="05B832B2"/>
    <w:rsid w:val="06298166"/>
    <w:rsid w:val="062D28E1"/>
    <w:rsid w:val="07A65AC6"/>
    <w:rsid w:val="07C799C9"/>
    <w:rsid w:val="07F382EC"/>
    <w:rsid w:val="086022B5"/>
    <w:rsid w:val="098E567C"/>
    <w:rsid w:val="09A3CB10"/>
    <w:rsid w:val="09D12298"/>
    <w:rsid w:val="0A72BAC9"/>
    <w:rsid w:val="0AEF3B42"/>
    <w:rsid w:val="0B92CCD8"/>
    <w:rsid w:val="0BE35C64"/>
    <w:rsid w:val="0C08A6F6"/>
    <w:rsid w:val="0C153D9D"/>
    <w:rsid w:val="0CDAE4C6"/>
    <w:rsid w:val="0D82D63F"/>
    <w:rsid w:val="0DA58BE4"/>
    <w:rsid w:val="0DFC3D19"/>
    <w:rsid w:val="0EC21D92"/>
    <w:rsid w:val="0EC45174"/>
    <w:rsid w:val="0F179A2E"/>
    <w:rsid w:val="0FA11720"/>
    <w:rsid w:val="0FD6709F"/>
    <w:rsid w:val="10DA6D69"/>
    <w:rsid w:val="1163C582"/>
    <w:rsid w:val="12614A75"/>
    <w:rsid w:val="12757803"/>
    <w:rsid w:val="12A31349"/>
    <w:rsid w:val="12B6ADC8"/>
    <w:rsid w:val="12BF3E15"/>
    <w:rsid w:val="12F11819"/>
    <w:rsid w:val="135D1EB1"/>
    <w:rsid w:val="13CD873C"/>
    <w:rsid w:val="14EFFAB7"/>
    <w:rsid w:val="15137C0D"/>
    <w:rsid w:val="15182A4C"/>
    <w:rsid w:val="15E13585"/>
    <w:rsid w:val="16EB04DF"/>
    <w:rsid w:val="16F00CB2"/>
    <w:rsid w:val="17C37AB1"/>
    <w:rsid w:val="18FF23F1"/>
    <w:rsid w:val="1A5D04FC"/>
    <w:rsid w:val="1AEB6307"/>
    <w:rsid w:val="1BBFF366"/>
    <w:rsid w:val="1C4E6A71"/>
    <w:rsid w:val="1C588029"/>
    <w:rsid w:val="1D7A8DE0"/>
    <w:rsid w:val="1DB30402"/>
    <w:rsid w:val="1F37D377"/>
    <w:rsid w:val="1F83811E"/>
    <w:rsid w:val="207C2F3B"/>
    <w:rsid w:val="20AEEEAB"/>
    <w:rsid w:val="219E67F0"/>
    <w:rsid w:val="21E4F6B8"/>
    <w:rsid w:val="224B2277"/>
    <w:rsid w:val="22634B70"/>
    <w:rsid w:val="22673653"/>
    <w:rsid w:val="22B6D966"/>
    <w:rsid w:val="233058B5"/>
    <w:rsid w:val="23D58AAF"/>
    <w:rsid w:val="23E7544B"/>
    <w:rsid w:val="2444EECC"/>
    <w:rsid w:val="247CA1B4"/>
    <w:rsid w:val="251FEF78"/>
    <w:rsid w:val="254E969A"/>
    <w:rsid w:val="269A1A52"/>
    <w:rsid w:val="26A9F7E6"/>
    <w:rsid w:val="26ADAF9D"/>
    <w:rsid w:val="276DAFFB"/>
    <w:rsid w:val="28E4ABF6"/>
    <w:rsid w:val="29AE92E1"/>
    <w:rsid w:val="29E1964C"/>
    <w:rsid w:val="2AC8DE5E"/>
    <w:rsid w:val="2AF7BDE0"/>
    <w:rsid w:val="2B0149F1"/>
    <w:rsid w:val="2B4E216C"/>
    <w:rsid w:val="2BC09ADD"/>
    <w:rsid w:val="2BD9EDC1"/>
    <w:rsid w:val="2C9854DF"/>
    <w:rsid w:val="2CB89F08"/>
    <w:rsid w:val="2CFB6A00"/>
    <w:rsid w:val="2D6228DB"/>
    <w:rsid w:val="2E0E674B"/>
    <w:rsid w:val="2E11A7E6"/>
    <w:rsid w:val="2EB01BCE"/>
    <w:rsid w:val="2F092E2F"/>
    <w:rsid w:val="2F09592A"/>
    <w:rsid w:val="2FA5584D"/>
    <w:rsid w:val="2FBF396B"/>
    <w:rsid w:val="2FD71F2C"/>
    <w:rsid w:val="302C0F8A"/>
    <w:rsid w:val="30C43F89"/>
    <w:rsid w:val="311DB99B"/>
    <w:rsid w:val="3249AAFB"/>
    <w:rsid w:val="3284947B"/>
    <w:rsid w:val="3294DD50"/>
    <w:rsid w:val="32B79895"/>
    <w:rsid w:val="3329FCD6"/>
    <w:rsid w:val="3339AFF5"/>
    <w:rsid w:val="334B99CC"/>
    <w:rsid w:val="33D9701D"/>
    <w:rsid w:val="34662843"/>
    <w:rsid w:val="34C8F2AD"/>
    <w:rsid w:val="34CED4CD"/>
    <w:rsid w:val="34E48249"/>
    <w:rsid w:val="352BBFB7"/>
    <w:rsid w:val="3532BC84"/>
    <w:rsid w:val="3581CAFD"/>
    <w:rsid w:val="3591283C"/>
    <w:rsid w:val="35B36C33"/>
    <w:rsid w:val="361ECF25"/>
    <w:rsid w:val="36473CEC"/>
    <w:rsid w:val="3660D707"/>
    <w:rsid w:val="36AB5C87"/>
    <w:rsid w:val="36E547E3"/>
    <w:rsid w:val="36F2A1E8"/>
    <w:rsid w:val="38349432"/>
    <w:rsid w:val="38BF1FF4"/>
    <w:rsid w:val="391378CB"/>
    <w:rsid w:val="39B5032E"/>
    <w:rsid w:val="3A914583"/>
    <w:rsid w:val="3A9885F4"/>
    <w:rsid w:val="3A9B3125"/>
    <w:rsid w:val="3AC80AC2"/>
    <w:rsid w:val="3AD66307"/>
    <w:rsid w:val="3ADE8BA4"/>
    <w:rsid w:val="3B258954"/>
    <w:rsid w:val="3B4FF7C8"/>
    <w:rsid w:val="3BEC27A2"/>
    <w:rsid w:val="3CCE8B0F"/>
    <w:rsid w:val="3CE1F0C4"/>
    <w:rsid w:val="3CE29267"/>
    <w:rsid w:val="3DA5265F"/>
    <w:rsid w:val="3DDE95CD"/>
    <w:rsid w:val="3DF88E71"/>
    <w:rsid w:val="3EC6E71B"/>
    <w:rsid w:val="400D80A6"/>
    <w:rsid w:val="41485795"/>
    <w:rsid w:val="41703121"/>
    <w:rsid w:val="4171C23A"/>
    <w:rsid w:val="41B1A87E"/>
    <w:rsid w:val="4253A24D"/>
    <w:rsid w:val="428CC82C"/>
    <w:rsid w:val="430B7C44"/>
    <w:rsid w:val="44700518"/>
    <w:rsid w:val="449FD62B"/>
    <w:rsid w:val="45A19B15"/>
    <w:rsid w:val="4613DF99"/>
    <w:rsid w:val="46A77471"/>
    <w:rsid w:val="46C4FCDB"/>
    <w:rsid w:val="46F23468"/>
    <w:rsid w:val="4703A2A3"/>
    <w:rsid w:val="48EF793C"/>
    <w:rsid w:val="499B7293"/>
    <w:rsid w:val="4A4030A1"/>
    <w:rsid w:val="4A7EC267"/>
    <w:rsid w:val="4AC99ECA"/>
    <w:rsid w:val="4AD0611E"/>
    <w:rsid w:val="4B2F9A87"/>
    <w:rsid w:val="4BD302CC"/>
    <w:rsid w:val="4CDD040F"/>
    <w:rsid w:val="4CDF8E6F"/>
    <w:rsid w:val="4D1F0957"/>
    <w:rsid w:val="4DB21DC0"/>
    <w:rsid w:val="4DE1E90B"/>
    <w:rsid w:val="4DEB5590"/>
    <w:rsid w:val="4E1A4E37"/>
    <w:rsid w:val="4E872C7E"/>
    <w:rsid w:val="4F16A2CC"/>
    <w:rsid w:val="4F3849ED"/>
    <w:rsid w:val="501D3A54"/>
    <w:rsid w:val="50C1EADE"/>
    <w:rsid w:val="518403B0"/>
    <w:rsid w:val="522491FD"/>
    <w:rsid w:val="52377E25"/>
    <w:rsid w:val="528C5809"/>
    <w:rsid w:val="52ABBAC4"/>
    <w:rsid w:val="53D22505"/>
    <w:rsid w:val="54B846AC"/>
    <w:rsid w:val="54DE6206"/>
    <w:rsid w:val="551BD507"/>
    <w:rsid w:val="56EAB689"/>
    <w:rsid w:val="5704E399"/>
    <w:rsid w:val="58505287"/>
    <w:rsid w:val="585710B4"/>
    <w:rsid w:val="586312A0"/>
    <w:rsid w:val="58C4D950"/>
    <w:rsid w:val="593FAF85"/>
    <w:rsid w:val="5A0BAB37"/>
    <w:rsid w:val="5A10FD93"/>
    <w:rsid w:val="5A22BAC6"/>
    <w:rsid w:val="5A5566F6"/>
    <w:rsid w:val="5A84CFDF"/>
    <w:rsid w:val="5A95CA21"/>
    <w:rsid w:val="5B2F9139"/>
    <w:rsid w:val="5B41FF6E"/>
    <w:rsid w:val="5BBA08C0"/>
    <w:rsid w:val="5BCE3ED8"/>
    <w:rsid w:val="5C00ACBA"/>
    <w:rsid w:val="5C451363"/>
    <w:rsid w:val="5C454D60"/>
    <w:rsid w:val="5C5602CE"/>
    <w:rsid w:val="5CB8272F"/>
    <w:rsid w:val="5CD9741F"/>
    <w:rsid w:val="5D21925F"/>
    <w:rsid w:val="5D87F9B3"/>
    <w:rsid w:val="5DF72ADF"/>
    <w:rsid w:val="5E4ECC68"/>
    <w:rsid w:val="5EDDC275"/>
    <w:rsid w:val="5F0E8AFB"/>
    <w:rsid w:val="5FDEDF1C"/>
    <w:rsid w:val="5FF50C55"/>
    <w:rsid w:val="6019DE45"/>
    <w:rsid w:val="6046418C"/>
    <w:rsid w:val="64A0D64B"/>
    <w:rsid w:val="659F625C"/>
    <w:rsid w:val="6658244E"/>
    <w:rsid w:val="67E4C1C7"/>
    <w:rsid w:val="685CC90D"/>
    <w:rsid w:val="6872B7A1"/>
    <w:rsid w:val="68A1E7B5"/>
    <w:rsid w:val="693DBB9E"/>
    <w:rsid w:val="69BD38C4"/>
    <w:rsid w:val="6A682DD3"/>
    <w:rsid w:val="6A697206"/>
    <w:rsid w:val="6A749263"/>
    <w:rsid w:val="6A991A38"/>
    <w:rsid w:val="6BDC0420"/>
    <w:rsid w:val="6C58159F"/>
    <w:rsid w:val="6C76B3B3"/>
    <w:rsid w:val="6C821B9D"/>
    <w:rsid w:val="6C893B8E"/>
    <w:rsid w:val="6CE5F540"/>
    <w:rsid w:val="6D8E4F21"/>
    <w:rsid w:val="6DEF64F5"/>
    <w:rsid w:val="6EEE38D7"/>
    <w:rsid w:val="6F2E77E7"/>
    <w:rsid w:val="703658FE"/>
    <w:rsid w:val="704371B9"/>
    <w:rsid w:val="70DC386C"/>
    <w:rsid w:val="711A5271"/>
    <w:rsid w:val="71504650"/>
    <w:rsid w:val="718D44DD"/>
    <w:rsid w:val="719CFE91"/>
    <w:rsid w:val="71CE57AB"/>
    <w:rsid w:val="7247908B"/>
    <w:rsid w:val="7257E324"/>
    <w:rsid w:val="726A0C4E"/>
    <w:rsid w:val="729FD990"/>
    <w:rsid w:val="73413569"/>
    <w:rsid w:val="73E21EB2"/>
    <w:rsid w:val="73E26A24"/>
    <w:rsid w:val="742A6D59"/>
    <w:rsid w:val="7501DE2D"/>
    <w:rsid w:val="752BED3C"/>
    <w:rsid w:val="754C75F6"/>
    <w:rsid w:val="76AA180A"/>
    <w:rsid w:val="77699FB6"/>
    <w:rsid w:val="77DD1D21"/>
    <w:rsid w:val="77EBCF3A"/>
    <w:rsid w:val="789C5AF2"/>
    <w:rsid w:val="78EC8752"/>
    <w:rsid w:val="78EFF0F8"/>
    <w:rsid w:val="79676685"/>
    <w:rsid w:val="79D9EB2C"/>
    <w:rsid w:val="7BC83FEB"/>
    <w:rsid w:val="7BD10E40"/>
    <w:rsid w:val="7CC0225F"/>
    <w:rsid w:val="7CC4284B"/>
    <w:rsid w:val="7CF3A41A"/>
    <w:rsid w:val="7D29B635"/>
    <w:rsid w:val="7D2C7BA5"/>
    <w:rsid w:val="7DC3A2C0"/>
    <w:rsid w:val="7E1F5195"/>
    <w:rsid w:val="7E744A24"/>
    <w:rsid w:val="7FC263FF"/>
    <w:rsid w:val="7FC715A1"/>
    <w:rsid w:val="7FF2A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5EA2"/>
  <w15:chartTrackingRefBased/>
  <w15:docId w15:val="{7D06F0C6-726F-428A-9E31-CB2DB4AA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Spacing"/>
    <w:next w:val="Normal"/>
    <w:link w:val="Heading2Char"/>
    <w:autoRedefine/>
    <w:uiPriority w:val="9"/>
    <w:unhideWhenUsed/>
    <w:qFormat/>
    <w:rsid w:val="00426BB6"/>
    <w:pPr>
      <w:outlineLvl w:val="1"/>
    </w:pPr>
    <w:rPr>
      <w:rFonts w:ascii="Calibri" w:hAnsi="Calibri"/>
      <w:b/>
      <w:sz w:val="26"/>
      <w:szCs w:val="26"/>
    </w:rPr>
  </w:style>
  <w:style w:type="paragraph" w:styleId="Heading3">
    <w:name w:val="heading 3"/>
    <w:basedOn w:val="Normal"/>
    <w:next w:val="Normal"/>
    <w:link w:val="Heading3Char"/>
    <w:uiPriority w:val="9"/>
    <w:unhideWhenUsed/>
    <w:qFormat/>
    <w:rsid w:val="002C2E5B"/>
    <w:pPr>
      <w:keepNext/>
      <w:keepLines/>
      <w:spacing w:before="40" w:after="0"/>
      <w:outlineLvl w:val="2"/>
    </w:pPr>
    <w:rPr>
      <w:rFonts w:ascii="Georgia" w:eastAsia="Georgia" w:hAnsi="Georg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C2"/>
  </w:style>
  <w:style w:type="paragraph" w:styleId="Footer">
    <w:name w:val="footer"/>
    <w:basedOn w:val="Normal"/>
    <w:link w:val="FooterChar"/>
    <w:uiPriority w:val="99"/>
    <w:unhideWhenUsed/>
    <w:rsid w:val="0039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C2"/>
  </w:style>
  <w:style w:type="character" w:customStyle="1" w:styleId="Heading2Char">
    <w:name w:val="Heading 2 Char"/>
    <w:basedOn w:val="DefaultParagraphFont"/>
    <w:link w:val="Heading2"/>
    <w:uiPriority w:val="9"/>
    <w:rsid w:val="00426BB6"/>
    <w:rPr>
      <w:rFonts w:ascii="Calibri" w:hAnsi="Calibri"/>
      <w:b/>
      <w:sz w:val="26"/>
      <w:szCs w:val="26"/>
    </w:rPr>
  </w:style>
  <w:style w:type="paragraph" w:styleId="NoSpacing">
    <w:name w:val="No Spacing"/>
    <w:uiPriority w:val="1"/>
    <w:qFormat/>
    <w:rsid w:val="00426BB6"/>
    <w:pPr>
      <w:spacing w:after="0" w:line="240" w:lineRule="auto"/>
    </w:pPr>
  </w:style>
  <w:style w:type="character" w:styleId="PlaceholderText">
    <w:name w:val="Placeholder Text"/>
    <w:basedOn w:val="DefaultParagraphFont"/>
    <w:uiPriority w:val="99"/>
    <w:semiHidden/>
    <w:rsid w:val="00426BB6"/>
    <w:rPr>
      <w:color w:val="808080"/>
    </w:rPr>
  </w:style>
  <w:style w:type="paragraph" w:styleId="BalloonText">
    <w:name w:val="Balloon Text"/>
    <w:basedOn w:val="Normal"/>
    <w:link w:val="BalloonTextChar"/>
    <w:uiPriority w:val="99"/>
    <w:semiHidden/>
    <w:unhideWhenUsed/>
    <w:rsid w:val="006D6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33"/>
    <w:rPr>
      <w:rFonts w:ascii="Segoe UI" w:hAnsi="Segoe UI" w:cs="Segoe UI"/>
      <w:sz w:val="18"/>
      <w:szCs w:val="18"/>
    </w:rPr>
  </w:style>
  <w:style w:type="paragraph" w:styleId="ListParagraph">
    <w:name w:val="List Paragraph"/>
    <w:basedOn w:val="Normal"/>
    <w:uiPriority w:val="34"/>
    <w:qFormat/>
    <w:rsid w:val="00F62197"/>
    <w:pPr>
      <w:ind w:left="720"/>
      <w:contextualSpacing/>
    </w:pPr>
  </w:style>
  <w:style w:type="character" w:customStyle="1" w:styleId="Heading1Char">
    <w:name w:val="Heading 1 Char"/>
    <w:basedOn w:val="DefaultParagraphFont"/>
    <w:link w:val="Heading1"/>
    <w:uiPriority w:val="9"/>
    <w:rsid w:val="001725E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1725E2"/>
    <w:pPr>
      <w:spacing w:after="200" w:line="240" w:lineRule="auto"/>
    </w:pPr>
    <w:rPr>
      <w:i/>
      <w:iCs/>
      <w:color w:val="44546A" w:themeColor="text2"/>
      <w:sz w:val="18"/>
      <w:szCs w:val="18"/>
    </w:rPr>
  </w:style>
  <w:style w:type="paragraph" w:styleId="Revision">
    <w:name w:val="Revision"/>
    <w:hidden/>
    <w:uiPriority w:val="99"/>
    <w:semiHidden/>
    <w:rsid w:val="000A5F33"/>
    <w:pPr>
      <w:spacing w:after="0" w:line="240" w:lineRule="auto"/>
    </w:pPr>
  </w:style>
  <w:style w:type="character" w:styleId="CommentReference">
    <w:name w:val="annotation reference"/>
    <w:basedOn w:val="DefaultParagraphFont"/>
    <w:uiPriority w:val="99"/>
    <w:semiHidden/>
    <w:unhideWhenUsed/>
    <w:rsid w:val="00BA1A3A"/>
    <w:rPr>
      <w:sz w:val="16"/>
      <w:szCs w:val="16"/>
    </w:rPr>
  </w:style>
  <w:style w:type="paragraph" w:styleId="CommentText">
    <w:name w:val="annotation text"/>
    <w:basedOn w:val="Normal"/>
    <w:link w:val="CommentTextChar"/>
    <w:uiPriority w:val="99"/>
    <w:unhideWhenUsed/>
    <w:rsid w:val="00BA1A3A"/>
    <w:pPr>
      <w:spacing w:line="240" w:lineRule="auto"/>
    </w:pPr>
    <w:rPr>
      <w:sz w:val="20"/>
      <w:szCs w:val="20"/>
    </w:rPr>
  </w:style>
  <w:style w:type="character" w:customStyle="1" w:styleId="CommentTextChar">
    <w:name w:val="Comment Text Char"/>
    <w:basedOn w:val="DefaultParagraphFont"/>
    <w:link w:val="CommentText"/>
    <w:uiPriority w:val="99"/>
    <w:rsid w:val="00BA1A3A"/>
    <w:rPr>
      <w:sz w:val="20"/>
      <w:szCs w:val="20"/>
    </w:rPr>
  </w:style>
  <w:style w:type="paragraph" w:styleId="CommentSubject">
    <w:name w:val="annotation subject"/>
    <w:basedOn w:val="CommentText"/>
    <w:next w:val="CommentText"/>
    <w:link w:val="CommentSubjectChar"/>
    <w:uiPriority w:val="99"/>
    <w:semiHidden/>
    <w:unhideWhenUsed/>
    <w:rsid w:val="00BA1A3A"/>
    <w:rPr>
      <w:b/>
      <w:bCs/>
    </w:rPr>
  </w:style>
  <w:style w:type="character" w:customStyle="1" w:styleId="CommentSubjectChar">
    <w:name w:val="Comment Subject Char"/>
    <w:basedOn w:val="CommentTextChar"/>
    <w:link w:val="CommentSubject"/>
    <w:uiPriority w:val="99"/>
    <w:semiHidden/>
    <w:rsid w:val="00BA1A3A"/>
    <w:rPr>
      <w:b/>
      <w:bCs/>
      <w:sz w:val="20"/>
      <w:szCs w:val="20"/>
    </w:rPr>
  </w:style>
  <w:style w:type="character" w:customStyle="1" w:styleId="Heading3Char">
    <w:name w:val="Heading 3 Char"/>
    <w:basedOn w:val="DefaultParagraphFont"/>
    <w:link w:val="Heading3"/>
    <w:uiPriority w:val="9"/>
    <w:rsid w:val="002C2E5B"/>
    <w:rPr>
      <w:rFonts w:ascii="Georgia" w:eastAsia="Georgia" w:hAnsi="Georgia" w:cstheme="majorBidi"/>
      <w:i/>
      <w:iCs/>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851">
      <w:bodyDiv w:val="1"/>
      <w:marLeft w:val="0"/>
      <w:marRight w:val="0"/>
      <w:marTop w:val="0"/>
      <w:marBottom w:val="0"/>
      <w:divBdr>
        <w:top w:val="none" w:sz="0" w:space="0" w:color="auto"/>
        <w:left w:val="none" w:sz="0" w:space="0" w:color="auto"/>
        <w:bottom w:val="none" w:sz="0" w:space="0" w:color="auto"/>
        <w:right w:val="none" w:sz="0" w:space="0" w:color="auto"/>
      </w:divBdr>
      <w:divsChild>
        <w:div w:id="1398431584">
          <w:marLeft w:val="0"/>
          <w:marRight w:val="0"/>
          <w:marTop w:val="0"/>
          <w:marBottom w:val="0"/>
          <w:divBdr>
            <w:top w:val="none" w:sz="0" w:space="0" w:color="auto"/>
            <w:left w:val="none" w:sz="0" w:space="0" w:color="auto"/>
            <w:bottom w:val="none" w:sz="0" w:space="0" w:color="auto"/>
            <w:right w:val="none" w:sz="0" w:space="0" w:color="auto"/>
          </w:divBdr>
        </w:div>
      </w:divsChild>
    </w:div>
    <w:div w:id="219173687">
      <w:bodyDiv w:val="1"/>
      <w:marLeft w:val="0"/>
      <w:marRight w:val="0"/>
      <w:marTop w:val="0"/>
      <w:marBottom w:val="0"/>
      <w:divBdr>
        <w:top w:val="none" w:sz="0" w:space="0" w:color="auto"/>
        <w:left w:val="none" w:sz="0" w:space="0" w:color="auto"/>
        <w:bottom w:val="none" w:sz="0" w:space="0" w:color="auto"/>
        <w:right w:val="none" w:sz="0" w:space="0" w:color="auto"/>
      </w:divBdr>
      <w:divsChild>
        <w:div w:id="1254976623">
          <w:marLeft w:val="0"/>
          <w:marRight w:val="0"/>
          <w:marTop w:val="0"/>
          <w:marBottom w:val="0"/>
          <w:divBdr>
            <w:top w:val="none" w:sz="0" w:space="0" w:color="auto"/>
            <w:left w:val="none" w:sz="0" w:space="0" w:color="auto"/>
            <w:bottom w:val="none" w:sz="0" w:space="0" w:color="auto"/>
            <w:right w:val="none" w:sz="0" w:space="0" w:color="auto"/>
          </w:divBdr>
        </w:div>
      </w:divsChild>
    </w:div>
    <w:div w:id="228196758">
      <w:bodyDiv w:val="1"/>
      <w:marLeft w:val="0"/>
      <w:marRight w:val="0"/>
      <w:marTop w:val="0"/>
      <w:marBottom w:val="0"/>
      <w:divBdr>
        <w:top w:val="none" w:sz="0" w:space="0" w:color="auto"/>
        <w:left w:val="none" w:sz="0" w:space="0" w:color="auto"/>
        <w:bottom w:val="none" w:sz="0" w:space="0" w:color="auto"/>
        <w:right w:val="none" w:sz="0" w:space="0" w:color="auto"/>
      </w:divBdr>
      <w:divsChild>
        <w:div w:id="1251088596">
          <w:marLeft w:val="0"/>
          <w:marRight w:val="0"/>
          <w:marTop w:val="0"/>
          <w:marBottom w:val="0"/>
          <w:divBdr>
            <w:top w:val="none" w:sz="0" w:space="0" w:color="auto"/>
            <w:left w:val="none" w:sz="0" w:space="0" w:color="auto"/>
            <w:bottom w:val="none" w:sz="0" w:space="0" w:color="auto"/>
            <w:right w:val="none" w:sz="0" w:space="0" w:color="auto"/>
          </w:divBdr>
        </w:div>
      </w:divsChild>
    </w:div>
    <w:div w:id="271403056">
      <w:bodyDiv w:val="1"/>
      <w:marLeft w:val="0"/>
      <w:marRight w:val="0"/>
      <w:marTop w:val="0"/>
      <w:marBottom w:val="0"/>
      <w:divBdr>
        <w:top w:val="none" w:sz="0" w:space="0" w:color="auto"/>
        <w:left w:val="none" w:sz="0" w:space="0" w:color="auto"/>
        <w:bottom w:val="none" w:sz="0" w:space="0" w:color="auto"/>
        <w:right w:val="none" w:sz="0" w:space="0" w:color="auto"/>
      </w:divBdr>
      <w:divsChild>
        <w:div w:id="458450024">
          <w:marLeft w:val="0"/>
          <w:marRight w:val="0"/>
          <w:marTop w:val="0"/>
          <w:marBottom w:val="0"/>
          <w:divBdr>
            <w:top w:val="none" w:sz="0" w:space="0" w:color="auto"/>
            <w:left w:val="none" w:sz="0" w:space="0" w:color="auto"/>
            <w:bottom w:val="none" w:sz="0" w:space="0" w:color="auto"/>
            <w:right w:val="none" w:sz="0" w:space="0" w:color="auto"/>
          </w:divBdr>
        </w:div>
      </w:divsChild>
    </w:div>
    <w:div w:id="371854774">
      <w:bodyDiv w:val="1"/>
      <w:marLeft w:val="0"/>
      <w:marRight w:val="0"/>
      <w:marTop w:val="0"/>
      <w:marBottom w:val="0"/>
      <w:divBdr>
        <w:top w:val="none" w:sz="0" w:space="0" w:color="auto"/>
        <w:left w:val="none" w:sz="0" w:space="0" w:color="auto"/>
        <w:bottom w:val="none" w:sz="0" w:space="0" w:color="auto"/>
        <w:right w:val="none" w:sz="0" w:space="0" w:color="auto"/>
      </w:divBdr>
      <w:divsChild>
        <w:div w:id="625502946">
          <w:marLeft w:val="0"/>
          <w:marRight w:val="0"/>
          <w:marTop w:val="0"/>
          <w:marBottom w:val="0"/>
          <w:divBdr>
            <w:top w:val="none" w:sz="0" w:space="0" w:color="auto"/>
            <w:left w:val="none" w:sz="0" w:space="0" w:color="auto"/>
            <w:bottom w:val="none" w:sz="0" w:space="0" w:color="auto"/>
            <w:right w:val="none" w:sz="0" w:space="0" w:color="auto"/>
          </w:divBdr>
        </w:div>
      </w:divsChild>
    </w:div>
    <w:div w:id="462038578">
      <w:bodyDiv w:val="1"/>
      <w:marLeft w:val="0"/>
      <w:marRight w:val="0"/>
      <w:marTop w:val="0"/>
      <w:marBottom w:val="0"/>
      <w:divBdr>
        <w:top w:val="none" w:sz="0" w:space="0" w:color="auto"/>
        <w:left w:val="none" w:sz="0" w:space="0" w:color="auto"/>
        <w:bottom w:val="none" w:sz="0" w:space="0" w:color="auto"/>
        <w:right w:val="none" w:sz="0" w:space="0" w:color="auto"/>
      </w:divBdr>
      <w:divsChild>
        <w:div w:id="292567021">
          <w:marLeft w:val="0"/>
          <w:marRight w:val="0"/>
          <w:marTop w:val="0"/>
          <w:marBottom w:val="0"/>
          <w:divBdr>
            <w:top w:val="none" w:sz="0" w:space="0" w:color="auto"/>
            <w:left w:val="none" w:sz="0" w:space="0" w:color="auto"/>
            <w:bottom w:val="none" w:sz="0" w:space="0" w:color="auto"/>
            <w:right w:val="none" w:sz="0" w:space="0" w:color="auto"/>
          </w:divBdr>
        </w:div>
      </w:divsChild>
    </w:div>
    <w:div w:id="498237300">
      <w:bodyDiv w:val="1"/>
      <w:marLeft w:val="0"/>
      <w:marRight w:val="0"/>
      <w:marTop w:val="0"/>
      <w:marBottom w:val="0"/>
      <w:divBdr>
        <w:top w:val="none" w:sz="0" w:space="0" w:color="auto"/>
        <w:left w:val="none" w:sz="0" w:space="0" w:color="auto"/>
        <w:bottom w:val="none" w:sz="0" w:space="0" w:color="auto"/>
        <w:right w:val="none" w:sz="0" w:space="0" w:color="auto"/>
      </w:divBdr>
      <w:divsChild>
        <w:div w:id="399908900">
          <w:marLeft w:val="0"/>
          <w:marRight w:val="0"/>
          <w:marTop w:val="0"/>
          <w:marBottom w:val="0"/>
          <w:divBdr>
            <w:top w:val="none" w:sz="0" w:space="0" w:color="auto"/>
            <w:left w:val="none" w:sz="0" w:space="0" w:color="auto"/>
            <w:bottom w:val="none" w:sz="0" w:space="0" w:color="auto"/>
            <w:right w:val="none" w:sz="0" w:space="0" w:color="auto"/>
          </w:divBdr>
        </w:div>
      </w:divsChild>
    </w:div>
    <w:div w:id="596719172">
      <w:bodyDiv w:val="1"/>
      <w:marLeft w:val="0"/>
      <w:marRight w:val="0"/>
      <w:marTop w:val="0"/>
      <w:marBottom w:val="0"/>
      <w:divBdr>
        <w:top w:val="none" w:sz="0" w:space="0" w:color="auto"/>
        <w:left w:val="none" w:sz="0" w:space="0" w:color="auto"/>
        <w:bottom w:val="none" w:sz="0" w:space="0" w:color="auto"/>
        <w:right w:val="none" w:sz="0" w:space="0" w:color="auto"/>
      </w:divBdr>
      <w:divsChild>
        <w:div w:id="1636183521">
          <w:marLeft w:val="0"/>
          <w:marRight w:val="0"/>
          <w:marTop w:val="0"/>
          <w:marBottom w:val="0"/>
          <w:divBdr>
            <w:top w:val="none" w:sz="0" w:space="0" w:color="auto"/>
            <w:left w:val="none" w:sz="0" w:space="0" w:color="auto"/>
            <w:bottom w:val="none" w:sz="0" w:space="0" w:color="auto"/>
            <w:right w:val="none" w:sz="0" w:space="0" w:color="auto"/>
          </w:divBdr>
        </w:div>
      </w:divsChild>
    </w:div>
    <w:div w:id="628978588">
      <w:bodyDiv w:val="1"/>
      <w:marLeft w:val="0"/>
      <w:marRight w:val="0"/>
      <w:marTop w:val="0"/>
      <w:marBottom w:val="0"/>
      <w:divBdr>
        <w:top w:val="none" w:sz="0" w:space="0" w:color="auto"/>
        <w:left w:val="none" w:sz="0" w:space="0" w:color="auto"/>
        <w:bottom w:val="none" w:sz="0" w:space="0" w:color="auto"/>
        <w:right w:val="none" w:sz="0" w:space="0" w:color="auto"/>
      </w:divBdr>
      <w:divsChild>
        <w:div w:id="1790779128">
          <w:marLeft w:val="0"/>
          <w:marRight w:val="0"/>
          <w:marTop w:val="0"/>
          <w:marBottom w:val="0"/>
          <w:divBdr>
            <w:top w:val="none" w:sz="0" w:space="0" w:color="auto"/>
            <w:left w:val="none" w:sz="0" w:space="0" w:color="auto"/>
            <w:bottom w:val="none" w:sz="0" w:space="0" w:color="auto"/>
            <w:right w:val="none" w:sz="0" w:space="0" w:color="auto"/>
          </w:divBdr>
        </w:div>
      </w:divsChild>
    </w:div>
    <w:div w:id="703138723">
      <w:bodyDiv w:val="1"/>
      <w:marLeft w:val="0"/>
      <w:marRight w:val="0"/>
      <w:marTop w:val="0"/>
      <w:marBottom w:val="0"/>
      <w:divBdr>
        <w:top w:val="none" w:sz="0" w:space="0" w:color="auto"/>
        <w:left w:val="none" w:sz="0" w:space="0" w:color="auto"/>
        <w:bottom w:val="none" w:sz="0" w:space="0" w:color="auto"/>
        <w:right w:val="none" w:sz="0" w:space="0" w:color="auto"/>
      </w:divBdr>
      <w:divsChild>
        <w:div w:id="669874055">
          <w:marLeft w:val="0"/>
          <w:marRight w:val="0"/>
          <w:marTop w:val="0"/>
          <w:marBottom w:val="0"/>
          <w:divBdr>
            <w:top w:val="none" w:sz="0" w:space="0" w:color="auto"/>
            <w:left w:val="none" w:sz="0" w:space="0" w:color="auto"/>
            <w:bottom w:val="none" w:sz="0" w:space="0" w:color="auto"/>
            <w:right w:val="none" w:sz="0" w:space="0" w:color="auto"/>
          </w:divBdr>
        </w:div>
      </w:divsChild>
    </w:div>
    <w:div w:id="782915996">
      <w:bodyDiv w:val="1"/>
      <w:marLeft w:val="0"/>
      <w:marRight w:val="0"/>
      <w:marTop w:val="0"/>
      <w:marBottom w:val="0"/>
      <w:divBdr>
        <w:top w:val="none" w:sz="0" w:space="0" w:color="auto"/>
        <w:left w:val="none" w:sz="0" w:space="0" w:color="auto"/>
        <w:bottom w:val="none" w:sz="0" w:space="0" w:color="auto"/>
        <w:right w:val="none" w:sz="0" w:space="0" w:color="auto"/>
      </w:divBdr>
      <w:divsChild>
        <w:div w:id="2146504823">
          <w:marLeft w:val="0"/>
          <w:marRight w:val="0"/>
          <w:marTop w:val="0"/>
          <w:marBottom w:val="0"/>
          <w:divBdr>
            <w:top w:val="none" w:sz="0" w:space="0" w:color="auto"/>
            <w:left w:val="none" w:sz="0" w:space="0" w:color="auto"/>
            <w:bottom w:val="none" w:sz="0" w:space="0" w:color="auto"/>
            <w:right w:val="none" w:sz="0" w:space="0" w:color="auto"/>
          </w:divBdr>
        </w:div>
      </w:divsChild>
    </w:div>
    <w:div w:id="993409717">
      <w:bodyDiv w:val="1"/>
      <w:marLeft w:val="0"/>
      <w:marRight w:val="0"/>
      <w:marTop w:val="0"/>
      <w:marBottom w:val="0"/>
      <w:divBdr>
        <w:top w:val="none" w:sz="0" w:space="0" w:color="auto"/>
        <w:left w:val="none" w:sz="0" w:space="0" w:color="auto"/>
        <w:bottom w:val="none" w:sz="0" w:space="0" w:color="auto"/>
        <w:right w:val="none" w:sz="0" w:space="0" w:color="auto"/>
      </w:divBdr>
    </w:div>
    <w:div w:id="1101220676">
      <w:bodyDiv w:val="1"/>
      <w:marLeft w:val="0"/>
      <w:marRight w:val="0"/>
      <w:marTop w:val="0"/>
      <w:marBottom w:val="0"/>
      <w:divBdr>
        <w:top w:val="none" w:sz="0" w:space="0" w:color="auto"/>
        <w:left w:val="none" w:sz="0" w:space="0" w:color="auto"/>
        <w:bottom w:val="none" w:sz="0" w:space="0" w:color="auto"/>
        <w:right w:val="none" w:sz="0" w:space="0" w:color="auto"/>
      </w:divBdr>
      <w:divsChild>
        <w:div w:id="850605421">
          <w:marLeft w:val="0"/>
          <w:marRight w:val="0"/>
          <w:marTop w:val="0"/>
          <w:marBottom w:val="0"/>
          <w:divBdr>
            <w:top w:val="none" w:sz="0" w:space="0" w:color="auto"/>
            <w:left w:val="none" w:sz="0" w:space="0" w:color="auto"/>
            <w:bottom w:val="none" w:sz="0" w:space="0" w:color="auto"/>
            <w:right w:val="none" w:sz="0" w:space="0" w:color="auto"/>
          </w:divBdr>
        </w:div>
      </w:divsChild>
    </w:div>
    <w:div w:id="1111392029">
      <w:bodyDiv w:val="1"/>
      <w:marLeft w:val="0"/>
      <w:marRight w:val="0"/>
      <w:marTop w:val="0"/>
      <w:marBottom w:val="0"/>
      <w:divBdr>
        <w:top w:val="none" w:sz="0" w:space="0" w:color="auto"/>
        <w:left w:val="none" w:sz="0" w:space="0" w:color="auto"/>
        <w:bottom w:val="none" w:sz="0" w:space="0" w:color="auto"/>
        <w:right w:val="none" w:sz="0" w:space="0" w:color="auto"/>
      </w:divBdr>
      <w:divsChild>
        <w:div w:id="1243029631">
          <w:marLeft w:val="0"/>
          <w:marRight w:val="0"/>
          <w:marTop w:val="0"/>
          <w:marBottom w:val="0"/>
          <w:divBdr>
            <w:top w:val="none" w:sz="0" w:space="0" w:color="auto"/>
            <w:left w:val="none" w:sz="0" w:space="0" w:color="auto"/>
            <w:bottom w:val="none" w:sz="0" w:space="0" w:color="auto"/>
            <w:right w:val="none" w:sz="0" w:space="0" w:color="auto"/>
          </w:divBdr>
        </w:div>
      </w:divsChild>
    </w:div>
    <w:div w:id="1266956767">
      <w:bodyDiv w:val="1"/>
      <w:marLeft w:val="0"/>
      <w:marRight w:val="0"/>
      <w:marTop w:val="0"/>
      <w:marBottom w:val="0"/>
      <w:divBdr>
        <w:top w:val="none" w:sz="0" w:space="0" w:color="auto"/>
        <w:left w:val="none" w:sz="0" w:space="0" w:color="auto"/>
        <w:bottom w:val="none" w:sz="0" w:space="0" w:color="auto"/>
        <w:right w:val="none" w:sz="0" w:space="0" w:color="auto"/>
      </w:divBdr>
    </w:div>
    <w:div w:id="1466118054">
      <w:bodyDiv w:val="1"/>
      <w:marLeft w:val="0"/>
      <w:marRight w:val="0"/>
      <w:marTop w:val="0"/>
      <w:marBottom w:val="0"/>
      <w:divBdr>
        <w:top w:val="none" w:sz="0" w:space="0" w:color="auto"/>
        <w:left w:val="none" w:sz="0" w:space="0" w:color="auto"/>
        <w:bottom w:val="none" w:sz="0" w:space="0" w:color="auto"/>
        <w:right w:val="none" w:sz="0" w:space="0" w:color="auto"/>
      </w:divBdr>
      <w:divsChild>
        <w:div w:id="66539341">
          <w:marLeft w:val="0"/>
          <w:marRight w:val="0"/>
          <w:marTop w:val="0"/>
          <w:marBottom w:val="0"/>
          <w:divBdr>
            <w:top w:val="none" w:sz="0" w:space="0" w:color="auto"/>
            <w:left w:val="none" w:sz="0" w:space="0" w:color="auto"/>
            <w:bottom w:val="none" w:sz="0" w:space="0" w:color="auto"/>
            <w:right w:val="none" w:sz="0" w:space="0" w:color="auto"/>
          </w:divBdr>
        </w:div>
      </w:divsChild>
    </w:div>
    <w:div w:id="1474249168">
      <w:bodyDiv w:val="1"/>
      <w:marLeft w:val="0"/>
      <w:marRight w:val="0"/>
      <w:marTop w:val="0"/>
      <w:marBottom w:val="0"/>
      <w:divBdr>
        <w:top w:val="none" w:sz="0" w:space="0" w:color="auto"/>
        <w:left w:val="none" w:sz="0" w:space="0" w:color="auto"/>
        <w:bottom w:val="none" w:sz="0" w:space="0" w:color="auto"/>
        <w:right w:val="none" w:sz="0" w:space="0" w:color="auto"/>
      </w:divBdr>
      <w:divsChild>
        <w:div w:id="595097557">
          <w:marLeft w:val="0"/>
          <w:marRight w:val="0"/>
          <w:marTop w:val="0"/>
          <w:marBottom w:val="0"/>
          <w:divBdr>
            <w:top w:val="none" w:sz="0" w:space="0" w:color="auto"/>
            <w:left w:val="none" w:sz="0" w:space="0" w:color="auto"/>
            <w:bottom w:val="none" w:sz="0" w:space="0" w:color="auto"/>
            <w:right w:val="none" w:sz="0" w:space="0" w:color="auto"/>
          </w:divBdr>
        </w:div>
      </w:divsChild>
    </w:div>
    <w:div w:id="1478179490">
      <w:bodyDiv w:val="1"/>
      <w:marLeft w:val="0"/>
      <w:marRight w:val="0"/>
      <w:marTop w:val="0"/>
      <w:marBottom w:val="0"/>
      <w:divBdr>
        <w:top w:val="none" w:sz="0" w:space="0" w:color="auto"/>
        <w:left w:val="none" w:sz="0" w:space="0" w:color="auto"/>
        <w:bottom w:val="none" w:sz="0" w:space="0" w:color="auto"/>
        <w:right w:val="none" w:sz="0" w:space="0" w:color="auto"/>
      </w:divBdr>
      <w:divsChild>
        <w:div w:id="1289120794">
          <w:marLeft w:val="0"/>
          <w:marRight w:val="0"/>
          <w:marTop w:val="0"/>
          <w:marBottom w:val="0"/>
          <w:divBdr>
            <w:top w:val="none" w:sz="0" w:space="0" w:color="auto"/>
            <w:left w:val="none" w:sz="0" w:space="0" w:color="auto"/>
            <w:bottom w:val="none" w:sz="0" w:space="0" w:color="auto"/>
            <w:right w:val="none" w:sz="0" w:space="0" w:color="auto"/>
          </w:divBdr>
        </w:div>
      </w:divsChild>
    </w:div>
    <w:div w:id="1513108224">
      <w:bodyDiv w:val="1"/>
      <w:marLeft w:val="0"/>
      <w:marRight w:val="0"/>
      <w:marTop w:val="0"/>
      <w:marBottom w:val="0"/>
      <w:divBdr>
        <w:top w:val="none" w:sz="0" w:space="0" w:color="auto"/>
        <w:left w:val="none" w:sz="0" w:space="0" w:color="auto"/>
        <w:bottom w:val="none" w:sz="0" w:space="0" w:color="auto"/>
        <w:right w:val="none" w:sz="0" w:space="0" w:color="auto"/>
      </w:divBdr>
      <w:divsChild>
        <w:div w:id="1392342257">
          <w:marLeft w:val="0"/>
          <w:marRight w:val="0"/>
          <w:marTop w:val="0"/>
          <w:marBottom w:val="0"/>
          <w:divBdr>
            <w:top w:val="none" w:sz="0" w:space="0" w:color="auto"/>
            <w:left w:val="none" w:sz="0" w:space="0" w:color="auto"/>
            <w:bottom w:val="none" w:sz="0" w:space="0" w:color="auto"/>
            <w:right w:val="none" w:sz="0" w:space="0" w:color="auto"/>
          </w:divBdr>
        </w:div>
      </w:divsChild>
    </w:div>
    <w:div w:id="1516848671">
      <w:bodyDiv w:val="1"/>
      <w:marLeft w:val="0"/>
      <w:marRight w:val="0"/>
      <w:marTop w:val="0"/>
      <w:marBottom w:val="0"/>
      <w:divBdr>
        <w:top w:val="none" w:sz="0" w:space="0" w:color="auto"/>
        <w:left w:val="none" w:sz="0" w:space="0" w:color="auto"/>
        <w:bottom w:val="none" w:sz="0" w:space="0" w:color="auto"/>
        <w:right w:val="none" w:sz="0" w:space="0" w:color="auto"/>
      </w:divBdr>
      <w:divsChild>
        <w:div w:id="877821630">
          <w:marLeft w:val="0"/>
          <w:marRight w:val="0"/>
          <w:marTop w:val="0"/>
          <w:marBottom w:val="0"/>
          <w:divBdr>
            <w:top w:val="none" w:sz="0" w:space="0" w:color="auto"/>
            <w:left w:val="none" w:sz="0" w:space="0" w:color="auto"/>
            <w:bottom w:val="none" w:sz="0" w:space="0" w:color="auto"/>
            <w:right w:val="none" w:sz="0" w:space="0" w:color="auto"/>
          </w:divBdr>
        </w:div>
      </w:divsChild>
    </w:div>
    <w:div w:id="1620717850">
      <w:bodyDiv w:val="1"/>
      <w:marLeft w:val="0"/>
      <w:marRight w:val="0"/>
      <w:marTop w:val="0"/>
      <w:marBottom w:val="0"/>
      <w:divBdr>
        <w:top w:val="none" w:sz="0" w:space="0" w:color="auto"/>
        <w:left w:val="none" w:sz="0" w:space="0" w:color="auto"/>
        <w:bottom w:val="none" w:sz="0" w:space="0" w:color="auto"/>
        <w:right w:val="none" w:sz="0" w:space="0" w:color="auto"/>
      </w:divBdr>
      <w:divsChild>
        <w:div w:id="1495532910">
          <w:marLeft w:val="0"/>
          <w:marRight w:val="0"/>
          <w:marTop w:val="0"/>
          <w:marBottom w:val="0"/>
          <w:divBdr>
            <w:top w:val="none" w:sz="0" w:space="0" w:color="auto"/>
            <w:left w:val="none" w:sz="0" w:space="0" w:color="auto"/>
            <w:bottom w:val="none" w:sz="0" w:space="0" w:color="auto"/>
            <w:right w:val="none" w:sz="0" w:space="0" w:color="auto"/>
          </w:divBdr>
        </w:div>
      </w:divsChild>
    </w:div>
    <w:div w:id="1649088445">
      <w:bodyDiv w:val="1"/>
      <w:marLeft w:val="0"/>
      <w:marRight w:val="0"/>
      <w:marTop w:val="0"/>
      <w:marBottom w:val="0"/>
      <w:divBdr>
        <w:top w:val="none" w:sz="0" w:space="0" w:color="auto"/>
        <w:left w:val="none" w:sz="0" w:space="0" w:color="auto"/>
        <w:bottom w:val="none" w:sz="0" w:space="0" w:color="auto"/>
        <w:right w:val="none" w:sz="0" w:space="0" w:color="auto"/>
      </w:divBdr>
      <w:divsChild>
        <w:div w:id="1589464906">
          <w:marLeft w:val="0"/>
          <w:marRight w:val="0"/>
          <w:marTop w:val="0"/>
          <w:marBottom w:val="0"/>
          <w:divBdr>
            <w:top w:val="none" w:sz="0" w:space="0" w:color="auto"/>
            <w:left w:val="none" w:sz="0" w:space="0" w:color="auto"/>
            <w:bottom w:val="none" w:sz="0" w:space="0" w:color="auto"/>
            <w:right w:val="none" w:sz="0" w:space="0" w:color="auto"/>
          </w:divBdr>
        </w:div>
      </w:divsChild>
    </w:div>
    <w:div w:id="1679310772">
      <w:bodyDiv w:val="1"/>
      <w:marLeft w:val="0"/>
      <w:marRight w:val="0"/>
      <w:marTop w:val="0"/>
      <w:marBottom w:val="0"/>
      <w:divBdr>
        <w:top w:val="none" w:sz="0" w:space="0" w:color="auto"/>
        <w:left w:val="none" w:sz="0" w:space="0" w:color="auto"/>
        <w:bottom w:val="none" w:sz="0" w:space="0" w:color="auto"/>
        <w:right w:val="none" w:sz="0" w:space="0" w:color="auto"/>
      </w:divBdr>
      <w:divsChild>
        <w:div w:id="971323665">
          <w:marLeft w:val="0"/>
          <w:marRight w:val="0"/>
          <w:marTop w:val="0"/>
          <w:marBottom w:val="0"/>
          <w:divBdr>
            <w:top w:val="none" w:sz="0" w:space="0" w:color="auto"/>
            <w:left w:val="none" w:sz="0" w:space="0" w:color="auto"/>
            <w:bottom w:val="none" w:sz="0" w:space="0" w:color="auto"/>
            <w:right w:val="none" w:sz="0" w:space="0" w:color="auto"/>
          </w:divBdr>
        </w:div>
      </w:divsChild>
    </w:div>
    <w:div w:id="1679383947">
      <w:bodyDiv w:val="1"/>
      <w:marLeft w:val="0"/>
      <w:marRight w:val="0"/>
      <w:marTop w:val="0"/>
      <w:marBottom w:val="0"/>
      <w:divBdr>
        <w:top w:val="none" w:sz="0" w:space="0" w:color="auto"/>
        <w:left w:val="none" w:sz="0" w:space="0" w:color="auto"/>
        <w:bottom w:val="none" w:sz="0" w:space="0" w:color="auto"/>
        <w:right w:val="none" w:sz="0" w:space="0" w:color="auto"/>
      </w:divBdr>
    </w:div>
    <w:div w:id="1736199544">
      <w:bodyDiv w:val="1"/>
      <w:marLeft w:val="0"/>
      <w:marRight w:val="0"/>
      <w:marTop w:val="0"/>
      <w:marBottom w:val="0"/>
      <w:divBdr>
        <w:top w:val="none" w:sz="0" w:space="0" w:color="auto"/>
        <w:left w:val="none" w:sz="0" w:space="0" w:color="auto"/>
        <w:bottom w:val="none" w:sz="0" w:space="0" w:color="auto"/>
        <w:right w:val="none" w:sz="0" w:space="0" w:color="auto"/>
      </w:divBdr>
      <w:divsChild>
        <w:div w:id="180320377">
          <w:marLeft w:val="0"/>
          <w:marRight w:val="0"/>
          <w:marTop w:val="0"/>
          <w:marBottom w:val="0"/>
          <w:divBdr>
            <w:top w:val="none" w:sz="0" w:space="0" w:color="auto"/>
            <w:left w:val="none" w:sz="0" w:space="0" w:color="auto"/>
            <w:bottom w:val="none" w:sz="0" w:space="0" w:color="auto"/>
            <w:right w:val="none" w:sz="0" w:space="0" w:color="auto"/>
          </w:divBdr>
        </w:div>
      </w:divsChild>
    </w:div>
    <w:div w:id="1920752489">
      <w:bodyDiv w:val="1"/>
      <w:marLeft w:val="0"/>
      <w:marRight w:val="0"/>
      <w:marTop w:val="0"/>
      <w:marBottom w:val="0"/>
      <w:divBdr>
        <w:top w:val="none" w:sz="0" w:space="0" w:color="auto"/>
        <w:left w:val="none" w:sz="0" w:space="0" w:color="auto"/>
        <w:bottom w:val="none" w:sz="0" w:space="0" w:color="auto"/>
        <w:right w:val="none" w:sz="0" w:space="0" w:color="auto"/>
      </w:divBdr>
    </w:div>
    <w:div w:id="1937864567">
      <w:bodyDiv w:val="1"/>
      <w:marLeft w:val="0"/>
      <w:marRight w:val="0"/>
      <w:marTop w:val="0"/>
      <w:marBottom w:val="0"/>
      <w:divBdr>
        <w:top w:val="none" w:sz="0" w:space="0" w:color="auto"/>
        <w:left w:val="none" w:sz="0" w:space="0" w:color="auto"/>
        <w:bottom w:val="none" w:sz="0" w:space="0" w:color="auto"/>
        <w:right w:val="none" w:sz="0" w:space="0" w:color="auto"/>
      </w:divBdr>
    </w:div>
    <w:div w:id="1954360822">
      <w:bodyDiv w:val="1"/>
      <w:marLeft w:val="0"/>
      <w:marRight w:val="0"/>
      <w:marTop w:val="0"/>
      <w:marBottom w:val="0"/>
      <w:divBdr>
        <w:top w:val="none" w:sz="0" w:space="0" w:color="auto"/>
        <w:left w:val="none" w:sz="0" w:space="0" w:color="auto"/>
        <w:bottom w:val="none" w:sz="0" w:space="0" w:color="auto"/>
        <w:right w:val="none" w:sz="0" w:space="0" w:color="auto"/>
      </w:divBdr>
      <w:divsChild>
        <w:div w:id="1230455799">
          <w:marLeft w:val="0"/>
          <w:marRight w:val="0"/>
          <w:marTop w:val="0"/>
          <w:marBottom w:val="0"/>
          <w:divBdr>
            <w:top w:val="none" w:sz="0" w:space="0" w:color="auto"/>
            <w:left w:val="none" w:sz="0" w:space="0" w:color="auto"/>
            <w:bottom w:val="none" w:sz="0" w:space="0" w:color="auto"/>
            <w:right w:val="none" w:sz="0" w:space="0" w:color="auto"/>
          </w:divBdr>
        </w:div>
      </w:divsChild>
    </w:div>
    <w:div w:id="2015448394">
      <w:bodyDiv w:val="1"/>
      <w:marLeft w:val="0"/>
      <w:marRight w:val="0"/>
      <w:marTop w:val="0"/>
      <w:marBottom w:val="0"/>
      <w:divBdr>
        <w:top w:val="none" w:sz="0" w:space="0" w:color="auto"/>
        <w:left w:val="none" w:sz="0" w:space="0" w:color="auto"/>
        <w:bottom w:val="none" w:sz="0" w:space="0" w:color="auto"/>
        <w:right w:val="none" w:sz="0" w:space="0" w:color="auto"/>
      </w:divBdr>
      <w:divsChild>
        <w:div w:id="971902466">
          <w:marLeft w:val="0"/>
          <w:marRight w:val="0"/>
          <w:marTop w:val="0"/>
          <w:marBottom w:val="0"/>
          <w:divBdr>
            <w:top w:val="none" w:sz="0" w:space="0" w:color="auto"/>
            <w:left w:val="none" w:sz="0" w:space="0" w:color="auto"/>
            <w:bottom w:val="none" w:sz="0" w:space="0" w:color="auto"/>
            <w:right w:val="none" w:sz="0" w:space="0" w:color="auto"/>
          </w:divBdr>
        </w:div>
      </w:divsChild>
    </w:div>
    <w:div w:id="2027977965">
      <w:bodyDiv w:val="1"/>
      <w:marLeft w:val="0"/>
      <w:marRight w:val="0"/>
      <w:marTop w:val="0"/>
      <w:marBottom w:val="0"/>
      <w:divBdr>
        <w:top w:val="none" w:sz="0" w:space="0" w:color="auto"/>
        <w:left w:val="none" w:sz="0" w:space="0" w:color="auto"/>
        <w:bottom w:val="none" w:sz="0" w:space="0" w:color="auto"/>
        <w:right w:val="none" w:sz="0" w:space="0" w:color="auto"/>
      </w:divBdr>
      <w:divsChild>
        <w:div w:id="1136607350">
          <w:marLeft w:val="0"/>
          <w:marRight w:val="0"/>
          <w:marTop w:val="0"/>
          <w:marBottom w:val="0"/>
          <w:divBdr>
            <w:top w:val="none" w:sz="0" w:space="0" w:color="auto"/>
            <w:left w:val="none" w:sz="0" w:space="0" w:color="auto"/>
            <w:bottom w:val="none" w:sz="0" w:space="0" w:color="auto"/>
            <w:right w:val="none" w:sz="0" w:space="0" w:color="auto"/>
          </w:divBdr>
        </w:div>
      </w:divsChild>
    </w:div>
    <w:div w:id="2087337898">
      <w:bodyDiv w:val="1"/>
      <w:marLeft w:val="0"/>
      <w:marRight w:val="0"/>
      <w:marTop w:val="0"/>
      <w:marBottom w:val="0"/>
      <w:divBdr>
        <w:top w:val="none" w:sz="0" w:space="0" w:color="auto"/>
        <w:left w:val="none" w:sz="0" w:space="0" w:color="auto"/>
        <w:bottom w:val="none" w:sz="0" w:space="0" w:color="auto"/>
        <w:right w:val="none" w:sz="0" w:space="0" w:color="auto"/>
      </w:divBdr>
      <w:divsChild>
        <w:div w:id="47437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purdue0-my.sharepoint.com/personal/kjorda00_purdue_edu/Documents/PTS/Data/Annual%20Repor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purdue0-my.sharepoint.com/personal/kjorda00_purdue_edu/Documents/PTS/Data/Annual%20Report%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Unique Courses and Instructors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Sheet9!$A$2</c:f>
              <c:strCache>
                <c:ptCount val="1"/>
                <c:pt idx="0">
                  <c:v>Courses</c:v>
                </c:pt>
              </c:strCache>
            </c:strRef>
          </c:tx>
          <c:spPr>
            <a:solidFill>
              <a:srgbClr val="CFB99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Fall 2023</c:v>
                </c:pt>
                <c:pt idx="1">
                  <c:v>Spring 2024</c:v>
                </c:pt>
                <c:pt idx="2">
                  <c:v>Fall 2024</c:v>
                </c:pt>
                <c:pt idx="3">
                  <c:v>Spring 2025</c:v>
                </c:pt>
              </c:strCache>
            </c:strRef>
          </c:cat>
          <c:val>
            <c:numRef>
              <c:f>Sheet9!$B$2:$E$2</c:f>
              <c:numCache>
                <c:formatCode>General</c:formatCode>
                <c:ptCount val="4"/>
                <c:pt idx="0">
                  <c:v>493</c:v>
                </c:pt>
                <c:pt idx="1">
                  <c:v>456</c:v>
                </c:pt>
                <c:pt idx="2">
                  <c:v>511</c:v>
                </c:pt>
                <c:pt idx="3">
                  <c:v>531</c:v>
                </c:pt>
              </c:numCache>
            </c:numRef>
          </c:val>
          <c:extLst>
            <c:ext xmlns:c16="http://schemas.microsoft.com/office/drawing/2014/chart" uri="{C3380CC4-5D6E-409C-BE32-E72D297353CC}">
              <c16:uniqueId val="{00000000-717E-498D-9017-329D3716E692}"/>
            </c:ext>
          </c:extLst>
        </c:ser>
        <c:ser>
          <c:idx val="1"/>
          <c:order val="1"/>
          <c:tx>
            <c:strRef>
              <c:f>Sheet9!$A$3</c:f>
              <c:strCache>
                <c:ptCount val="1"/>
                <c:pt idx="0">
                  <c:v>Instructors</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Fall 2023</c:v>
                </c:pt>
                <c:pt idx="1">
                  <c:v>Spring 2024</c:v>
                </c:pt>
                <c:pt idx="2">
                  <c:v>Fall 2024</c:v>
                </c:pt>
                <c:pt idx="3">
                  <c:v>Spring 2025</c:v>
                </c:pt>
              </c:strCache>
            </c:strRef>
          </c:cat>
          <c:val>
            <c:numRef>
              <c:f>Sheet9!$B$3:$E$3</c:f>
              <c:numCache>
                <c:formatCode>General</c:formatCode>
                <c:ptCount val="4"/>
                <c:pt idx="0">
                  <c:v>517</c:v>
                </c:pt>
                <c:pt idx="1">
                  <c:v>514</c:v>
                </c:pt>
                <c:pt idx="2">
                  <c:v>542</c:v>
                </c:pt>
                <c:pt idx="3">
                  <c:v>554</c:v>
                </c:pt>
              </c:numCache>
            </c:numRef>
          </c:val>
          <c:extLst>
            <c:ext xmlns:c16="http://schemas.microsoft.com/office/drawing/2014/chart" uri="{C3380CC4-5D6E-409C-BE32-E72D297353CC}">
              <c16:uniqueId val="{00000001-717E-498D-9017-329D3716E692}"/>
            </c:ext>
          </c:extLst>
        </c:ser>
        <c:dLbls>
          <c:dLblPos val="inEnd"/>
          <c:showLegendKey val="0"/>
          <c:showVal val="1"/>
          <c:showCatName val="0"/>
          <c:showSerName val="0"/>
          <c:showPercent val="0"/>
          <c:showBubbleSize val="0"/>
        </c:dLbls>
        <c:gapWidth val="160"/>
        <c:overlap val="-30"/>
        <c:axId val="1736178184"/>
        <c:axId val="440074760"/>
      </c:barChart>
      <c:catAx>
        <c:axId val="1736178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074760"/>
        <c:crosses val="autoZero"/>
        <c:auto val="1"/>
        <c:lblAlgn val="ctr"/>
        <c:lblOffset val="100"/>
        <c:noMultiLvlLbl val="0"/>
      </c:catAx>
      <c:valAx>
        <c:axId val="440074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178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eorgia" panose="02040502050405020303" pitchFamily="18" charset="0"/>
                <a:ea typeface="+mn-ea"/>
                <a:cs typeface="+mn-cs"/>
              </a:defRPr>
            </a:pPr>
            <a:r>
              <a:rPr lang="en-US">
                <a:latin typeface="Georgia" panose="02040502050405020303" pitchFamily="18" charset="0"/>
              </a:rPr>
              <a:t>Advanced Credit and External</a:t>
            </a:r>
            <a:r>
              <a:rPr lang="en-US" baseline="0">
                <a:latin typeface="Georgia" panose="02040502050405020303" pitchFamily="18" charset="0"/>
              </a:rPr>
              <a:t> Vendor Testing</a:t>
            </a:r>
            <a:endParaRPr lang="en-US">
              <a:latin typeface="Georgia" panose="020405020504050203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eorgia" panose="02040502050405020303" pitchFamily="18" charset="0"/>
              <a:ea typeface="+mn-ea"/>
              <a:cs typeface="+mn-cs"/>
            </a:defRPr>
          </a:pPr>
          <a:endParaRPr lang="en-US"/>
        </a:p>
      </c:txPr>
    </c:title>
    <c:autoTitleDeleted val="0"/>
    <c:plotArea>
      <c:layout/>
      <c:barChart>
        <c:barDir val="col"/>
        <c:grouping val="clustered"/>
        <c:varyColors val="0"/>
        <c:ser>
          <c:idx val="0"/>
          <c:order val="0"/>
          <c:tx>
            <c:strRef>
              <c:f>Sheet8!$A$2</c:f>
              <c:strCache>
                <c:ptCount val="1"/>
                <c:pt idx="0">
                  <c:v>2021-2022</c:v>
                </c:pt>
              </c:strCache>
            </c:strRef>
          </c:tx>
          <c:spPr>
            <a:solidFill>
              <a:schemeClr val="tx1"/>
            </a:solidFill>
            <a:ln>
              <a:noFill/>
            </a:ln>
            <a:effectLst/>
          </c:spPr>
          <c:invertIfNegative val="0"/>
          <c:cat>
            <c:strRef>
              <c:f>Sheet8!$B$1:$J$1</c:f>
              <c:strCache>
                <c:ptCount val="9"/>
                <c:pt idx="0">
                  <c:v>FE</c:v>
                </c:pt>
                <c:pt idx="1">
                  <c:v>GMAT</c:v>
                </c:pt>
                <c:pt idx="2">
                  <c:v>Microsoft</c:v>
                </c:pt>
                <c:pt idx="3">
                  <c:v>Praxis</c:v>
                </c:pt>
                <c:pt idx="4">
                  <c:v>GRE</c:v>
                </c:pt>
                <c:pt idx="5">
                  <c:v>CLEP</c:v>
                </c:pt>
                <c:pt idx="6">
                  <c:v>CHM</c:v>
                </c:pt>
                <c:pt idx="7">
                  <c:v>CS 159</c:v>
                </c:pt>
                <c:pt idx="8">
                  <c:v>CNIT</c:v>
                </c:pt>
              </c:strCache>
            </c:strRef>
          </c:cat>
          <c:val>
            <c:numRef>
              <c:f>Sheet8!$B$2:$J$2</c:f>
              <c:numCache>
                <c:formatCode>General</c:formatCode>
                <c:ptCount val="9"/>
                <c:pt idx="0">
                  <c:v>9</c:v>
                </c:pt>
                <c:pt idx="1">
                  <c:v>247</c:v>
                </c:pt>
                <c:pt idx="2">
                  <c:v>49</c:v>
                </c:pt>
                <c:pt idx="3">
                  <c:v>146</c:v>
                </c:pt>
                <c:pt idx="4">
                  <c:v>8</c:v>
                </c:pt>
                <c:pt idx="5">
                  <c:v>175</c:v>
                </c:pt>
                <c:pt idx="6">
                  <c:v>195</c:v>
                </c:pt>
                <c:pt idx="7">
                  <c:v>18</c:v>
                </c:pt>
                <c:pt idx="8">
                  <c:v>0</c:v>
                </c:pt>
              </c:numCache>
            </c:numRef>
          </c:val>
          <c:extLst>
            <c:ext xmlns:c16="http://schemas.microsoft.com/office/drawing/2014/chart" uri="{C3380CC4-5D6E-409C-BE32-E72D297353CC}">
              <c16:uniqueId val="{00000000-29A9-4144-BB28-BA8613CF65DE}"/>
            </c:ext>
          </c:extLst>
        </c:ser>
        <c:ser>
          <c:idx val="1"/>
          <c:order val="1"/>
          <c:tx>
            <c:strRef>
              <c:f>Sheet8!$A$3</c:f>
              <c:strCache>
                <c:ptCount val="1"/>
                <c:pt idx="0">
                  <c:v>2022-2023</c:v>
                </c:pt>
              </c:strCache>
            </c:strRef>
          </c:tx>
          <c:spPr>
            <a:solidFill>
              <a:srgbClr val="CFB991"/>
            </a:solidFill>
            <a:ln>
              <a:noFill/>
            </a:ln>
            <a:effectLst/>
          </c:spPr>
          <c:invertIfNegative val="0"/>
          <c:cat>
            <c:strRef>
              <c:f>Sheet8!$B$1:$J$1</c:f>
              <c:strCache>
                <c:ptCount val="9"/>
                <c:pt idx="0">
                  <c:v>FE</c:v>
                </c:pt>
                <c:pt idx="1">
                  <c:v>GMAT</c:v>
                </c:pt>
                <c:pt idx="2">
                  <c:v>Microsoft</c:v>
                </c:pt>
                <c:pt idx="3">
                  <c:v>Praxis</c:v>
                </c:pt>
                <c:pt idx="4">
                  <c:v>GRE</c:v>
                </c:pt>
                <c:pt idx="5">
                  <c:v>CLEP</c:v>
                </c:pt>
                <c:pt idx="6">
                  <c:v>CHM</c:v>
                </c:pt>
                <c:pt idx="7">
                  <c:v>CS 159</c:v>
                </c:pt>
                <c:pt idx="8">
                  <c:v>CNIT</c:v>
                </c:pt>
              </c:strCache>
            </c:strRef>
          </c:cat>
          <c:val>
            <c:numRef>
              <c:f>Sheet8!$B$3:$J$3</c:f>
              <c:numCache>
                <c:formatCode>General</c:formatCode>
                <c:ptCount val="9"/>
                <c:pt idx="0">
                  <c:v>199</c:v>
                </c:pt>
                <c:pt idx="1">
                  <c:v>18</c:v>
                </c:pt>
                <c:pt idx="2">
                  <c:v>4</c:v>
                </c:pt>
                <c:pt idx="3">
                  <c:v>226</c:v>
                </c:pt>
                <c:pt idx="4">
                  <c:v>103</c:v>
                </c:pt>
                <c:pt idx="5">
                  <c:v>180</c:v>
                </c:pt>
                <c:pt idx="6">
                  <c:v>136</c:v>
                </c:pt>
                <c:pt idx="7">
                  <c:v>33</c:v>
                </c:pt>
                <c:pt idx="8">
                  <c:v>0</c:v>
                </c:pt>
              </c:numCache>
            </c:numRef>
          </c:val>
          <c:extLst>
            <c:ext xmlns:c16="http://schemas.microsoft.com/office/drawing/2014/chart" uri="{C3380CC4-5D6E-409C-BE32-E72D297353CC}">
              <c16:uniqueId val="{00000001-29A9-4144-BB28-BA8613CF65DE}"/>
            </c:ext>
          </c:extLst>
        </c:ser>
        <c:ser>
          <c:idx val="2"/>
          <c:order val="2"/>
          <c:tx>
            <c:strRef>
              <c:f>Sheet8!$A$4</c:f>
              <c:strCache>
                <c:ptCount val="1"/>
                <c:pt idx="0">
                  <c:v>2023-2024</c:v>
                </c:pt>
              </c:strCache>
            </c:strRef>
          </c:tx>
          <c:spPr>
            <a:solidFill>
              <a:srgbClr val="9D9795"/>
            </a:solidFill>
            <a:ln>
              <a:noFill/>
            </a:ln>
            <a:effectLst/>
          </c:spPr>
          <c:invertIfNegative val="0"/>
          <c:cat>
            <c:strRef>
              <c:f>Sheet8!$B$1:$J$1</c:f>
              <c:strCache>
                <c:ptCount val="9"/>
                <c:pt idx="0">
                  <c:v>FE</c:v>
                </c:pt>
                <c:pt idx="1">
                  <c:v>GMAT</c:v>
                </c:pt>
                <c:pt idx="2">
                  <c:v>Microsoft</c:v>
                </c:pt>
                <c:pt idx="3">
                  <c:v>Praxis</c:v>
                </c:pt>
                <c:pt idx="4">
                  <c:v>GRE</c:v>
                </c:pt>
                <c:pt idx="5">
                  <c:v>CLEP</c:v>
                </c:pt>
                <c:pt idx="6">
                  <c:v>CHM</c:v>
                </c:pt>
                <c:pt idx="7">
                  <c:v>CS 159</c:v>
                </c:pt>
                <c:pt idx="8">
                  <c:v>CNIT</c:v>
                </c:pt>
              </c:strCache>
            </c:strRef>
          </c:cat>
          <c:val>
            <c:numRef>
              <c:f>Sheet8!$B$4:$J$4</c:f>
              <c:numCache>
                <c:formatCode>General</c:formatCode>
                <c:ptCount val="9"/>
                <c:pt idx="0">
                  <c:v>257</c:v>
                </c:pt>
                <c:pt idx="1">
                  <c:v>22</c:v>
                </c:pt>
                <c:pt idx="2">
                  <c:v>9</c:v>
                </c:pt>
                <c:pt idx="3">
                  <c:v>190</c:v>
                </c:pt>
                <c:pt idx="4">
                  <c:v>119</c:v>
                </c:pt>
                <c:pt idx="5">
                  <c:v>292</c:v>
                </c:pt>
                <c:pt idx="6">
                  <c:v>177</c:v>
                </c:pt>
                <c:pt idx="7">
                  <c:v>23</c:v>
                </c:pt>
                <c:pt idx="8">
                  <c:v>0</c:v>
                </c:pt>
              </c:numCache>
            </c:numRef>
          </c:val>
          <c:extLst>
            <c:ext xmlns:c16="http://schemas.microsoft.com/office/drawing/2014/chart" uri="{C3380CC4-5D6E-409C-BE32-E72D297353CC}">
              <c16:uniqueId val="{00000002-29A9-4144-BB28-BA8613CF65DE}"/>
            </c:ext>
          </c:extLst>
        </c:ser>
        <c:ser>
          <c:idx val="3"/>
          <c:order val="3"/>
          <c:tx>
            <c:strRef>
              <c:f>Sheet8!$A$5</c:f>
              <c:strCache>
                <c:ptCount val="1"/>
                <c:pt idx="0">
                  <c:v>2024-2025</c:v>
                </c:pt>
              </c:strCache>
            </c:strRef>
          </c:tx>
          <c:spPr>
            <a:solidFill>
              <a:srgbClr val="DDB945"/>
            </a:solidFill>
            <a:ln>
              <a:noFill/>
            </a:ln>
            <a:effectLst/>
          </c:spPr>
          <c:invertIfNegative val="0"/>
          <c:cat>
            <c:strRef>
              <c:f>Sheet8!$B$1:$J$1</c:f>
              <c:strCache>
                <c:ptCount val="9"/>
                <c:pt idx="0">
                  <c:v>FE</c:v>
                </c:pt>
                <c:pt idx="1">
                  <c:v>GMAT</c:v>
                </c:pt>
                <c:pt idx="2">
                  <c:v>Microsoft</c:v>
                </c:pt>
                <c:pt idx="3">
                  <c:v>Praxis</c:v>
                </c:pt>
                <c:pt idx="4">
                  <c:v>GRE</c:v>
                </c:pt>
                <c:pt idx="5">
                  <c:v>CLEP</c:v>
                </c:pt>
                <c:pt idx="6">
                  <c:v>CHM</c:v>
                </c:pt>
                <c:pt idx="7">
                  <c:v>CS 159</c:v>
                </c:pt>
                <c:pt idx="8">
                  <c:v>CNIT</c:v>
                </c:pt>
              </c:strCache>
            </c:strRef>
          </c:cat>
          <c:val>
            <c:numRef>
              <c:f>Sheet8!$B$5:$J$5</c:f>
              <c:numCache>
                <c:formatCode>General</c:formatCode>
                <c:ptCount val="9"/>
                <c:pt idx="0">
                  <c:v>402</c:v>
                </c:pt>
                <c:pt idx="1">
                  <c:v>30</c:v>
                </c:pt>
                <c:pt idx="2">
                  <c:v>11</c:v>
                </c:pt>
                <c:pt idx="3">
                  <c:v>212</c:v>
                </c:pt>
                <c:pt idx="4">
                  <c:v>138</c:v>
                </c:pt>
                <c:pt idx="5">
                  <c:v>387</c:v>
                </c:pt>
                <c:pt idx="6">
                  <c:v>286</c:v>
                </c:pt>
                <c:pt idx="7">
                  <c:v>41</c:v>
                </c:pt>
                <c:pt idx="8">
                  <c:v>96</c:v>
                </c:pt>
              </c:numCache>
            </c:numRef>
          </c:val>
          <c:extLst>
            <c:ext xmlns:c16="http://schemas.microsoft.com/office/drawing/2014/chart" uri="{C3380CC4-5D6E-409C-BE32-E72D297353CC}">
              <c16:uniqueId val="{00000003-29A9-4144-BB28-BA8613CF65DE}"/>
            </c:ext>
          </c:extLst>
        </c:ser>
        <c:dLbls>
          <c:showLegendKey val="0"/>
          <c:showVal val="0"/>
          <c:showCatName val="0"/>
          <c:showSerName val="0"/>
          <c:showPercent val="0"/>
          <c:showBubbleSize val="0"/>
        </c:dLbls>
        <c:gapWidth val="219"/>
        <c:overlap val="-27"/>
        <c:axId val="1553682527"/>
        <c:axId val="2045408095"/>
      </c:barChart>
      <c:catAx>
        <c:axId val="155368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408095"/>
        <c:crosses val="autoZero"/>
        <c:auto val="1"/>
        <c:lblAlgn val="ctr"/>
        <c:lblOffset val="100"/>
        <c:noMultiLvlLbl val="0"/>
      </c:catAx>
      <c:valAx>
        <c:axId val="2045408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368252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C67BE2-7FB0-43FA-86EF-4E4C576F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10211</TotalTime>
  <Pages>8</Pages>
  <Words>1854</Words>
  <Characters>10572</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Mattingly, Andrea L</dc:creator>
  <cp:keywords/>
  <dc:description/>
  <cp:lastModifiedBy>Margaret Catherine O'Connor</cp:lastModifiedBy>
  <cp:revision>6</cp:revision>
  <cp:lastPrinted>2025-10-07T14:22:00Z</cp:lastPrinted>
  <dcterms:created xsi:type="dcterms:W3CDTF">2025-10-07T12:43:00Z</dcterms:created>
  <dcterms:modified xsi:type="dcterms:W3CDTF">2025-12-03T19:38:00Z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2023-11-30T20:57:00Z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f53660b0-de8e-4c0b-a18e-b819c51ccf1f</vt:lpwstr>
  </property>
  <property fmtid="{D5CDD505-2E9C-101B-9397-08002B2CF9AE}" pid="8" name="MSIP_Label_4044bd30-2ed7-4c9d-9d12-46200872a97b_ContentBits">
    <vt:lpwstr>0</vt:lpwstr>
  </property>
</Properties>
</file>